
<file path=[Content_Types].xml><?xml version="1.0" encoding="utf-8"?>
<Types xmlns="http://schemas.openxmlformats.org/package/2006/content-types">
  <Default Extension="xml" ContentType="application/xml"/>
  <Default Extension="doc" ContentType="application/msword"/>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bookmarkStart w:id="0" w:name="_Hlk111474485"/>
      <w:bookmarkStart w:id="1" w:name="_Hlk95808660"/>
      <w:r>
        <w:rPr>
          <w:rFonts w:ascii="Times New Roman" w:hAnsi="Times New Roman" w:eastAsia="宋体" w:cs="Times New Roman"/>
          <w:b/>
          <w:bCs/>
          <w:sz w:val="52"/>
          <w:szCs w:val="52"/>
        </w:rPr>
        <w:t>连云港天丰沥青有限公司</w:t>
      </w:r>
    </w:p>
    <w:bookmarkEnd w:id="0"/>
    <w:p>
      <w:pPr>
        <w:jc w:val="center"/>
        <w:rPr>
          <w:rFonts w:ascii="Times New Roman" w:hAnsi="Times New Roman" w:eastAsia="宋体" w:cs="Times New Roman"/>
          <w:b/>
          <w:bCs/>
          <w:sz w:val="72"/>
          <w:szCs w:val="72"/>
        </w:rPr>
      </w:pPr>
      <w:r>
        <w:rPr>
          <w:rFonts w:ascii="Times New Roman" w:hAnsi="Times New Roman" w:eastAsia="宋体" w:cs="Times New Roman"/>
          <w:b/>
          <w:bCs/>
          <w:sz w:val="52"/>
          <w:szCs w:val="52"/>
        </w:rPr>
        <w:t>现有项目验收后变动环境影响分析</w:t>
      </w:r>
    </w:p>
    <w:bookmarkEnd w:id="1"/>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jc w:val="center"/>
        <w:rPr>
          <w:rFonts w:ascii="Times New Roman" w:hAnsi="Times New Roman" w:eastAsia="宋体" w:cs="Times New Roman"/>
          <w:b/>
          <w:bCs/>
          <w:sz w:val="52"/>
          <w:szCs w:val="52"/>
        </w:rPr>
      </w:pPr>
    </w:p>
    <w:p>
      <w:pPr>
        <w:adjustRightInd w:val="0"/>
        <w:snapToGrid w:val="0"/>
        <w:jc w:val="center"/>
        <w:rPr>
          <w:rFonts w:ascii="Times New Roman" w:hAnsi="Times New Roman" w:eastAsia="宋体" w:cs="Times New Roman"/>
          <w:b/>
          <w:sz w:val="32"/>
          <w:szCs w:val="32"/>
        </w:rPr>
      </w:pPr>
      <w:bookmarkStart w:id="2" w:name="_Hlk95808737"/>
      <w:r>
        <w:rPr>
          <w:rFonts w:ascii="Times New Roman" w:hAnsi="Times New Roman" w:eastAsia="宋体" w:cs="Times New Roman"/>
          <w:b/>
          <w:sz w:val="32"/>
          <w:szCs w:val="32"/>
        </w:rPr>
        <w:t>连云港天丰沥青有限公司</w:t>
      </w:r>
    </w:p>
    <w:p>
      <w:pPr>
        <w:jc w:val="center"/>
        <w:rPr>
          <w:rFonts w:ascii="Times New Roman" w:hAnsi="Times New Roman" w:eastAsia="宋体" w:cs="Times New Roman"/>
          <w:sz w:val="28"/>
          <w:szCs w:val="28"/>
        </w:rPr>
      </w:pPr>
      <w:r>
        <w:rPr>
          <w:rFonts w:ascii="Times New Roman" w:hAnsi="Times New Roman" w:eastAsia="宋体" w:cs="Times New Roman"/>
          <w:b/>
          <w:sz w:val="32"/>
          <w:szCs w:val="32"/>
        </w:rPr>
        <w:t>二〇二四年</w:t>
      </w:r>
      <w:r>
        <w:rPr>
          <w:rFonts w:hint="eastAsia" w:ascii="Times New Roman" w:hAnsi="Times New Roman" w:eastAsia="宋体" w:cs="Times New Roman"/>
          <w:b/>
          <w:sz w:val="32"/>
          <w:szCs w:val="32"/>
          <w:lang w:val="en-US" w:eastAsia="zh-CN"/>
        </w:rPr>
        <w:t>二</w:t>
      </w:r>
      <w:r>
        <w:rPr>
          <w:rFonts w:ascii="Times New Roman" w:hAnsi="Times New Roman" w:eastAsia="宋体" w:cs="Times New Roman"/>
          <w:b/>
          <w:sz w:val="32"/>
          <w:szCs w:val="32"/>
        </w:rPr>
        <w:t>月</w:t>
      </w:r>
    </w:p>
    <w:bookmarkEnd w:id="2"/>
    <w:p>
      <w:pPr>
        <w:rPr>
          <w:rFonts w:ascii="Times New Roman" w:hAnsi="Times New Roman" w:eastAsia="宋体" w:cs="Times New Roman"/>
        </w:rPr>
      </w:pPr>
    </w:p>
    <w:p>
      <w:pPr>
        <w:rPr>
          <w:rFonts w:ascii="Times New Roman" w:hAnsi="Times New Roman" w:eastAsia="宋体" w:cs="Times New Roman"/>
        </w:rPr>
        <w:sectPr>
          <w:footerReference r:id="rId3" w:type="default"/>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bCs/>
          <w:sz w:val="22"/>
          <w:szCs w:val="24"/>
        </w:rPr>
      </w:pPr>
      <w:r>
        <w:rPr>
          <w:rFonts w:ascii="Times New Roman" w:hAnsi="Times New Roman" w:eastAsia="宋体" w:cs="Times New Roman"/>
          <w:b/>
          <w:bCs/>
          <w:sz w:val="32"/>
          <w:szCs w:val="36"/>
        </w:rPr>
        <w:t>目 录</w:t>
      </w:r>
    </w:p>
    <w:p>
      <w:pPr>
        <w:pStyle w:val="24"/>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TOC \o "1-2" \u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 前言</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_Toc150182756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1.1 项目由来</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_Toc150182757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1.2 编制依据及项目文件</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_Toc150182758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3</w:t>
      </w:r>
      <w:r>
        <w:rPr>
          <w:rFonts w:ascii="Times New Roman" w:hAnsi="Times New Roman" w:eastAsia="宋体" w:cs="Times New Roman"/>
          <w:sz w:val="28"/>
          <w:szCs w:val="28"/>
        </w:rPr>
        <w:fldChar w:fldCharType="end"/>
      </w:r>
    </w:p>
    <w:p>
      <w:pPr>
        <w:pStyle w:val="24"/>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t>2 变动情况</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_Toc150182759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2.1 项目性质</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_Toc150182760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2.2 建设规模</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_Toc150182761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2.3 建设地点</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2.4 生产工艺</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_Toc150182763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4</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2.5环境保护措施</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_Toc150182764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10</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2.6排放口情况</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_Toc150182765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11</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2.7小结</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_Toc150182766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15</w:t>
      </w:r>
      <w:r>
        <w:rPr>
          <w:rFonts w:ascii="Times New Roman" w:hAnsi="Times New Roman" w:eastAsia="宋体" w:cs="Times New Roman"/>
          <w:sz w:val="28"/>
          <w:szCs w:val="28"/>
        </w:rPr>
        <w:fldChar w:fldCharType="end"/>
      </w:r>
    </w:p>
    <w:p>
      <w:pPr>
        <w:pStyle w:val="24"/>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t>3 环境影响分析说明</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_Toc150182767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16</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3.1 污染物排放达标可行性分析</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_Toc150182768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16</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3.2 环境风险</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_Toc150182769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32</w:t>
      </w:r>
      <w:r>
        <w:rPr>
          <w:rFonts w:ascii="Times New Roman" w:hAnsi="Times New Roman" w:eastAsia="宋体" w:cs="Times New Roman"/>
          <w:sz w:val="28"/>
          <w:szCs w:val="28"/>
        </w:rPr>
        <w:fldChar w:fldCharType="end"/>
      </w:r>
    </w:p>
    <w:p>
      <w:pPr>
        <w:pStyle w:val="24"/>
        <w:tabs>
          <w:tab w:val="right" w:leader="dot" w:pos="8296"/>
        </w:tabs>
        <w:rPr>
          <w:rFonts w:ascii="Times New Roman" w:hAnsi="Times New Roman" w:eastAsia="宋体" w:cs="Times New Roman"/>
          <w:b w:val="0"/>
          <w:bCs w:val="0"/>
          <w:caps w:val="0"/>
          <w:sz w:val="28"/>
          <w:szCs w:val="28"/>
        </w:rPr>
      </w:pPr>
      <w:r>
        <w:rPr>
          <w:rFonts w:ascii="Times New Roman" w:hAnsi="Times New Roman" w:eastAsia="宋体" w:cs="Times New Roman"/>
          <w:sz w:val="28"/>
          <w:szCs w:val="28"/>
        </w:rPr>
        <w:t>4 结论</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_Toc150182770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35</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4.1 环评管理</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_Toc150182771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35</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mallCaps w:val="0"/>
          <w:sz w:val="28"/>
          <w:szCs w:val="28"/>
        </w:rPr>
      </w:pPr>
      <w:r>
        <w:rPr>
          <w:rFonts w:ascii="Times New Roman" w:hAnsi="Times New Roman" w:eastAsia="宋体" w:cs="Times New Roman"/>
          <w:sz w:val="28"/>
          <w:szCs w:val="28"/>
        </w:rPr>
        <w:t>4.2 排污许可管理</w:t>
      </w:r>
      <w:r>
        <w:rPr>
          <w:rFonts w:ascii="Times New Roman" w:hAnsi="Times New Roman" w:eastAsia="宋体" w:cs="Times New Roman"/>
          <w:sz w:val="28"/>
          <w:szCs w:val="28"/>
        </w:rPr>
        <w:tab/>
      </w: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PAGEREF _Toc150182772 \h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35</w:t>
      </w:r>
      <w:r>
        <w:rPr>
          <w:rFonts w:ascii="Times New Roman" w:hAnsi="Times New Roman" w:eastAsia="宋体" w:cs="Times New Roman"/>
          <w:sz w:val="28"/>
          <w:szCs w:val="28"/>
        </w:rPr>
        <w:fldChar w:fldCharType="end"/>
      </w:r>
    </w:p>
    <w:p>
      <w:pPr>
        <w:pStyle w:val="27"/>
        <w:tabs>
          <w:tab w:val="right" w:leader="dot" w:pos="8296"/>
        </w:tabs>
        <w:rPr>
          <w:rFonts w:ascii="Times New Roman" w:hAnsi="Times New Roman" w:eastAsia="宋体" w:cs="Times New Roman"/>
          <w:sz w:val="24"/>
          <w:szCs w:val="24"/>
        </w:rPr>
      </w:pPr>
      <w:r>
        <w:rPr>
          <w:rFonts w:ascii="Times New Roman" w:hAnsi="Times New Roman" w:eastAsia="宋体" w:cs="Times New Roman"/>
          <w:sz w:val="28"/>
          <w:szCs w:val="28"/>
        </w:rPr>
        <w:fldChar w:fldCharType="end"/>
      </w:r>
    </w:p>
    <w:p>
      <w:pPr>
        <w:rPr>
          <w:rFonts w:ascii="Times New Roman" w:hAnsi="Times New Roman" w:eastAsia="宋体" w:cs="Times New Roman"/>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pStyle w:val="2"/>
        <w:spacing w:before="0" w:beforeLines="0" w:after="0" w:afterLines="0" w:line="600" w:lineRule="exact"/>
        <w:rPr>
          <w:rFonts w:eastAsia="宋体" w:cs="Times New Roman"/>
        </w:rPr>
      </w:pPr>
      <w:bookmarkStart w:id="3" w:name="_Toc150182756"/>
      <w:r>
        <w:rPr>
          <w:rFonts w:eastAsia="宋体" w:cs="Times New Roman"/>
        </w:rPr>
        <w:t>前言</w:t>
      </w:r>
      <w:bookmarkEnd w:id="3"/>
    </w:p>
    <w:p>
      <w:pPr>
        <w:pStyle w:val="3"/>
        <w:spacing w:before="0" w:beforeLines="0" w:after="0" w:afterLines="0"/>
        <w:ind w:left="210"/>
        <w:rPr>
          <w:rFonts w:eastAsia="宋体" w:cs="Times New Roman"/>
        </w:rPr>
      </w:pPr>
      <w:bookmarkStart w:id="4" w:name="_Toc150182757"/>
      <w:r>
        <w:rPr>
          <w:rFonts w:eastAsia="宋体" w:cs="Times New Roman"/>
        </w:rPr>
        <w:t>项目由来</w:t>
      </w:r>
      <w:bookmarkEnd w:id="4"/>
    </w:p>
    <w:p>
      <w:pPr>
        <w:spacing w:line="48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连云港天丰沥青有限公司</w:t>
      </w:r>
      <w:r>
        <w:rPr>
          <w:rFonts w:hint="eastAsia" w:ascii="Times New Roman" w:hAnsi="Times New Roman" w:eastAsia="宋体" w:cs="Times New Roman"/>
          <w:sz w:val="28"/>
          <w:szCs w:val="32"/>
        </w:rPr>
        <w:t>（以下简称“天丰沥青”）</w:t>
      </w:r>
      <w:r>
        <w:rPr>
          <w:rFonts w:ascii="Times New Roman" w:hAnsi="Times New Roman" w:eastAsia="宋体" w:cs="Times New Roman"/>
          <w:sz w:val="28"/>
          <w:szCs w:val="32"/>
        </w:rPr>
        <w:t>位于连云港市赣榆区墩尚镇河口村，运营范围为：沥青拌和生产</w:t>
      </w:r>
      <w:r>
        <w:rPr>
          <w:rFonts w:hint="eastAsia" w:ascii="Times New Roman" w:hAnsi="Times New Roman" w:eastAsia="宋体" w:cs="Times New Roman"/>
          <w:sz w:val="28"/>
          <w:szCs w:val="32"/>
        </w:rPr>
        <w:t>；</w:t>
      </w:r>
      <w:r>
        <w:rPr>
          <w:rFonts w:ascii="Times New Roman" w:hAnsi="Times New Roman" w:eastAsia="宋体" w:cs="Times New Roman"/>
          <w:sz w:val="28"/>
          <w:szCs w:val="32"/>
        </w:rPr>
        <w:t>土石方工程、建筑工程、道路工程、桥梁工程施工</w:t>
      </w:r>
      <w:r>
        <w:rPr>
          <w:rFonts w:hint="eastAsia" w:ascii="Times New Roman" w:hAnsi="Times New Roman" w:eastAsia="宋体" w:cs="Times New Roman"/>
          <w:sz w:val="28"/>
          <w:szCs w:val="32"/>
        </w:rPr>
        <w:t>；</w:t>
      </w:r>
      <w:r>
        <w:rPr>
          <w:rFonts w:ascii="Times New Roman" w:hAnsi="Times New Roman" w:eastAsia="宋体" w:cs="Times New Roman"/>
          <w:sz w:val="28"/>
          <w:szCs w:val="32"/>
        </w:rPr>
        <w:t>水泥稳定碎石、建材销售</w:t>
      </w:r>
      <w:r>
        <w:rPr>
          <w:rFonts w:hint="eastAsia" w:ascii="Times New Roman" w:hAnsi="Times New Roman" w:eastAsia="宋体" w:cs="Times New Roman"/>
          <w:sz w:val="28"/>
          <w:szCs w:val="32"/>
        </w:rPr>
        <w:t>；</w:t>
      </w:r>
      <w:r>
        <w:rPr>
          <w:rFonts w:ascii="Times New Roman" w:hAnsi="Times New Roman" w:eastAsia="宋体" w:cs="Times New Roman"/>
          <w:sz w:val="28"/>
          <w:szCs w:val="32"/>
        </w:rPr>
        <w:t>机械租赁。</w:t>
      </w:r>
    </w:p>
    <w:p>
      <w:pPr>
        <w:spacing w:line="480" w:lineRule="exact"/>
        <w:ind w:firstLine="560" w:firstLineChars="200"/>
        <w:contextualSpacing/>
        <w:rPr>
          <w:rFonts w:ascii="Times New Roman" w:hAnsi="Times New Roman" w:eastAsia="宋体" w:cs="Times New Roman"/>
          <w:sz w:val="28"/>
          <w:szCs w:val="32"/>
        </w:rPr>
      </w:pPr>
      <w:r>
        <w:rPr>
          <w:rFonts w:hint="eastAsia" w:ascii="Times New Roman" w:hAnsi="Times New Roman" w:eastAsia="宋体" w:cs="Times New Roman"/>
          <w:sz w:val="28"/>
          <w:szCs w:val="32"/>
        </w:rPr>
        <w:t>天丰沥青</w:t>
      </w:r>
      <w:r>
        <w:rPr>
          <w:rFonts w:ascii="Times New Roman" w:hAnsi="Times New Roman" w:eastAsia="宋体" w:cs="Times New Roman"/>
          <w:sz w:val="28"/>
          <w:szCs w:val="32"/>
        </w:rPr>
        <w:t>2016年投资7000万元建设生产厂房及附属设施、购置生产设备，建设“沥青搅和生产线项目”。该项目于2014年在连云港市赣榆区发展和改革委员会备案（赣发改工[2014]416号），项目环境影响报告表由南京工业大学环境工程研究所编写，2014年11月19日通过连云港市赣榆生态环境局（原赣榆县环境保护局）审批。项目于2016年11月10日通过了连云港市赣榆生态环境局（原赣榆县环境保护局）验收。</w:t>
      </w:r>
    </w:p>
    <w:p>
      <w:pPr>
        <w:spacing w:line="480" w:lineRule="exact"/>
        <w:ind w:firstLine="560" w:firstLineChars="200"/>
        <w:contextualSpacing/>
        <w:rPr>
          <w:rFonts w:ascii="Times New Roman" w:hAnsi="Times New Roman" w:eastAsia="宋体" w:cs="Times New Roman"/>
          <w:sz w:val="28"/>
          <w:szCs w:val="32"/>
        </w:rPr>
      </w:pPr>
      <w:r>
        <w:rPr>
          <w:rFonts w:hint="eastAsia" w:ascii="Times New Roman" w:hAnsi="Times New Roman" w:eastAsia="宋体" w:cs="Times New Roman"/>
          <w:sz w:val="28"/>
          <w:szCs w:val="32"/>
        </w:rPr>
        <w:t>天丰沥青</w:t>
      </w:r>
      <w:r>
        <w:rPr>
          <w:rFonts w:ascii="Times New Roman" w:hAnsi="Times New Roman" w:eastAsia="宋体" w:cs="Times New Roman"/>
          <w:sz w:val="28"/>
          <w:szCs w:val="32"/>
        </w:rPr>
        <w:t>2022年投资60万元建设“废气综合整治技改项目”。该项目于2022年08月09日在连云港市赣榆区行政审批局备案（赣行审技备〔2022〕16号），项目登记表于2022年05月20日完成备案（备案号：202232070700000111）。</w:t>
      </w:r>
    </w:p>
    <w:p>
      <w:pPr>
        <w:spacing w:line="480" w:lineRule="exact"/>
        <w:ind w:firstLine="560" w:firstLineChars="200"/>
        <w:contextualSpacing/>
        <w:rPr>
          <w:rFonts w:ascii="Times New Roman" w:hAnsi="Times New Roman" w:eastAsia="宋体" w:cs="Times New Roman"/>
          <w:sz w:val="28"/>
          <w:szCs w:val="32"/>
        </w:rPr>
      </w:pPr>
      <w:r>
        <w:rPr>
          <w:rFonts w:hint="eastAsia" w:ascii="Times New Roman" w:hAnsi="Times New Roman" w:eastAsia="宋体" w:cs="Times New Roman"/>
          <w:sz w:val="28"/>
          <w:szCs w:val="32"/>
        </w:rPr>
        <w:t>天丰沥青</w:t>
      </w:r>
      <w:r>
        <w:rPr>
          <w:rFonts w:ascii="Times New Roman" w:hAnsi="Times New Roman" w:eastAsia="宋体" w:cs="Times New Roman"/>
          <w:sz w:val="28"/>
          <w:szCs w:val="32"/>
        </w:rPr>
        <w:t>2022年10月27日完成排污许可证重新申请，许可证编号：9132070732377959XT001U。</w:t>
      </w:r>
    </w:p>
    <w:p>
      <w:pPr>
        <w:spacing w:line="48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企业基本情况见表1-1。具体项目审批/登记及验收情况见表1-2。</w:t>
      </w:r>
    </w:p>
    <w:p>
      <w:pPr>
        <w:spacing w:line="48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表1-1 连云港天丰沥青有限公司基本情况一览表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2598"/>
        <w:gridCol w:w="2325"/>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单位名称</w:t>
            </w:r>
          </w:p>
        </w:tc>
        <w:tc>
          <w:tcPr>
            <w:tcW w:w="3909" w:type="pct"/>
            <w:gridSpan w:val="3"/>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连云港天丰沥青有限公司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通讯地址</w:t>
            </w:r>
          </w:p>
        </w:tc>
        <w:tc>
          <w:tcPr>
            <w:tcW w:w="3909" w:type="pct"/>
            <w:gridSpan w:val="3"/>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连云港市赣榆区墩尚镇河口村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主要产品</w:t>
            </w:r>
          </w:p>
        </w:tc>
        <w:tc>
          <w:tcPr>
            <w:tcW w:w="3909" w:type="pct"/>
            <w:gridSpan w:val="3"/>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年产20万立方米沥青混凝土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社会信用代码</w:t>
            </w:r>
          </w:p>
        </w:tc>
        <w:tc>
          <w:tcPr>
            <w:tcW w:w="152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9132070732377959XT</w:t>
            </w:r>
          </w:p>
        </w:tc>
        <w:tc>
          <w:tcPr>
            <w:tcW w:w="136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行业代码</w:t>
            </w:r>
          </w:p>
        </w:tc>
        <w:tc>
          <w:tcPr>
            <w:tcW w:w="1021"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C3099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行业名称</w:t>
            </w:r>
          </w:p>
        </w:tc>
        <w:tc>
          <w:tcPr>
            <w:tcW w:w="152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 xml:space="preserve">其他非金属矿物制品制造 </w:t>
            </w:r>
          </w:p>
        </w:tc>
        <w:tc>
          <w:tcPr>
            <w:tcW w:w="136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企业联系人</w:t>
            </w:r>
          </w:p>
        </w:tc>
        <w:tc>
          <w:tcPr>
            <w:tcW w:w="1021"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 xml:space="preserve">钱光武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联系电话</w:t>
            </w:r>
          </w:p>
        </w:tc>
        <w:tc>
          <w:tcPr>
            <w:tcW w:w="152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 xml:space="preserve">15189009888 </w:t>
            </w:r>
          </w:p>
        </w:tc>
        <w:tc>
          <w:tcPr>
            <w:tcW w:w="136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电子邮箱</w:t>
            </w:r>
          </w:p>
        </w:tc>
        <w:tc>
          <w:tcPr>
            <w:tcW w:w="1021"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建设时间</w:t>
            </w:r>
          </w:p>
        </w:tc>
        <w:tc>
          <w:tcPr>
            <w:tcW w:w="152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2016年</w:t>
            </w:r>
          </w:p>
        </w:tc>
        <w:tc>
          <w:tcPr>
            <w:tcW w:w="136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最新改扩建时间</w:t>
            </w:r>
          </w:p>
        </w:tc>
        <w:tc>
          <w:tcPr>
            <w:tcW w:w="1021"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职工人数</w:t>
            </w:r>
          </w:p>
        </w:tc>
        <w:tc>
          <w:tcPr>
            <w:tcW w:w="152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30人</w:t>
            </w:r>
          </w:p>
        </w:tc>
        <w:tc>
          <w:tcPr>
            <w:tcW w:w="136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年生产时间/（小时）</w:t>
            </w:r>
          </w:p>
        </w:tc>
        <w:tc>
          <w:tcPr>
            <w:tcW w:w="1021"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 w:type="pct"/>
            <w:shd w:val="clear" w:color="auto" w:fill="auto"/>
            <w:vAlign w:val="center"/>
          </w:tcPr>
          <w:p>
            <w:pPr>
              <w:widowControl/>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是否通过环保验收</w:t>
            </w:r>
          </w:p>
        </w:tc>
        <w:tc>
          <w:tcPr>
            <w:tcW w:w="152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是</w:t>
            </w:r>
          </w:p>
        </w:tc>
        <w:tc>
          <w:tcPr>
            <w:tcW w:w="1364"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最近验收时间</w:t>
            </w:r>
          </w:p>
        </w:tc>
        <w:tc>
          <w:tcPr>
            <w:tcW w:w="1021" w:type="pct"/>
            <w:shd w:val="clear" w:color="auto" w:fill="auto"/>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2016年11月</w:t>
            </w:r>
          </w:p>
        </w:tc>
      </w:tr>
    </w:tbl>
    <w:p>
      <w:pPr>
        <w:spacing w:line="500" w:lineRule="exact"/>
        <w:ind w:firstLine="560" w:firstLineChars="200"/>
        <w:contextualSpacing/>
        <w:rPr>
          <w:rFonts w:ascii="Times New Roman" w:hAnsi="Times New Roman" w:eastAsia="宋体" w:cs="Times New Roman"/>
          <w:sz w:val="28"/>
          <w:szCs w:val="32"/>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spacing w:line="500" w:lineRule="exact"/>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8"/>
          <w:szCs w:val="28"/>
        </w:rPr>
        <w:t>表1-2 公司各期项目审批及验收情况</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9"/>
        <w:gridCol w:w="1428"/>
        <w:gridCol w:w="1594"/>
        <w:gridCol w:w="3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blHeader/>
          <w:jc w:val="center"/>
        </w:trPr>
        <w:tc>
          <w:tcPr>
            <w:tcW w:w="1003"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审批项目</w:t>
            </w:r>
          </w:p>
        </w:tc>
        <w:tc>
          <w:tcPr>
            <w:tcW w:w="838"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审批/登记时间审批文号</w:t>
            </w:r>
          </w:p>
        </w:tc>
        <w:tc>
          <w:tcPr>
            <w:tcW w:w="935"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环评审批部门</w:t>
            </w:r>
          </w:p>
        </w:tc>
        <w:tc>
          <w:tcPr>
            <w:tcW w:w="2224"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验收情况</w:t>
            </w:r>
            <w:r>
              <w:rPr>
                <w:rFonts w:hint="eastAsia" w:ascii="Times New Roman" w:hAnsi="Times New Roman" w:eastAsia="宋体" w:cs="Times New Roman"/>
                <w:b/>
                <w:bCs/>
                <w:sz w:val="24"/>
                <w:szCs w:val="24"/>
              </w:rPr>
              <w:t>及建设内容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tblHeader/>
          <w:jc w:val="center"/>
        </w:trPr>
        <w:tc>
          <w:tcPr>
            <w:tcW w:w="1003"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《沥青搅和生产线项目》环境影响报告表</w:t>
            </w:r>
          </w:p>
        </w:tc>
        <w:tc>
          <w:tcPr>
            <w:tcW w:w="838"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2014年11月19日</w:t>
            </w:r>
          </w:p>
        </w:tc>
        <w:tc>
          <w:tcPr>
            <w:tcW w:w="935"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连云港市赣榆生态环境局（原赣榆县环境保护局）</w:t>
            </w:r>
          </w:p>
        </w:tc>
        <w:tc>
          <w:tcPr>
            <w:tcW w:w="2224" w:type="pct"/>
            <w:vAlign w:val="center"/>
          </w:tcPr>
          <w:p>
            <w:pPr>
              <w:pStyle w:val="12"/>
              <w:rPr>
                <w:rFonts w:ascii="Times New Roman" w:hAnsi="Times New Roman" w:eastAsia="宋体" w:cs="Times New Roman"/>
                <w:sz w:val="24"/>
                <w:szCs w:val="24"/>
              </w:rPr>
            </w:pPr>
            <w:r>
              <w:rPr>
                <w:rFonts w:ascii="Times New Roman" w:hAnsi="Times New Roman" w:eastAsia="宋体" w:cs="Times New Roman"/>
                <w:sz w:val="24"/>
                <w:szCs w:val="24"/>
              </w:rPr>
              <w:t>2016年11月10日通过了连云港市赣榆生态环境局（原赣榆县环境保护局）验收</w:t>
            </w:r>
          </w:p>
          <w:p>
            <w:pPr>
              <w:contextualSpacing/>
              <w:jc w:val="center"/>
              <w:rPr>
                <w:rFonts w:ascii="Times New Roman" w:hAnsi="Times New Roman" w:eastAsia="宋体" w:cs="Times New Roman"/>
                <w:b/>
                <w:sz w:val="24"/>
                <w:szCs w:val="24"/>
              </w:rPr>
            </w:pPr>
            <w:r>
              <w:rPr>
                <w:rFonts w:ascii="Times New Roman" w:hAnsi="Times New Roman" w:eastAsia="宋体" w:cs="Times New Roman"/>
                <w:b/>
                <w:sz w:val="24"/>
                <w:szCs w:val="24"/>
              </w:rPr>
              <w:t>验收内容为年产20万立方米沥青混凝土。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blHeader/>
          <w:jc w:val="center"/>
        </w:trPr>
        <w:tc>
          <w:tcPr>
            <w:tcW w:w="1003"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《废气综合整治技改项目》登记表</w:t>
            </w:r>
          </w:p>
        </w:tc>
        <w:tc>
          <w:tcPr>
            <w:tcW w:w="838"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2022年05月20日</w:t>
            </w:r>
          </w:p>
        </w:tc>
        <w:tc>
          <w:tcPr>
            <w:tcW w:w="935"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2224" w:type="pct"/>
            <w:vAlign w:val="center"/>
          </w:tcPr>
          <w:p>
            <w:pPr>
              <w:pStyle w:val="12"/>
              <w:rPr>
                <w:rFonts w:ascii="Times New Roman" w:hAnsi="Times New Roman" w:eastAsia="宋体" w:cs="Times New Roman"/>
                <w:b/>
                <w:bCs/>
                <w:sz w:val="24"/>
                <w:szCs w:val="24"/>
              </w:rPr>
            </w:pPr>
            <w:r>
              <w:rPr>
                <w:rFonts w:hint="eastAsia" w:ascii="Times New Roman" w:hAnsi="Times New Roman" w:eastAsia="宋体" w:cs="Times New Roman"/>
                <w:sz w:val="24"/>
                <w:szCs w:val="24"/>
              </w:rPr>
              <w:t>建设内容：</w:t>
            </w:r>
            <w:r>
              <w:rPr>
                <w:rFonts w:ascii="Times New Roman" w:hAnsi="Times New Roman" w:eastAsia="宋体" w:cs="Times New Roman"/>
                <w:sz w:val="24"/>
                <w:szCs w:val="24"/>
              </w:rPr>
              <w:t>新增喷淋洗涤塔+等离子UV光氧一体机+活性炭吸附装置+15m高排气筒，同时建设危废库6平方米。</w:t>
            </w:r>
          </w:p>
        </w:tc>
      </w:tr>
    </w:tbl>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sz w:val="28"/>
          <w:szCs w:val="32"/>
        </w:rPr>
      </w:pPr>
      <w:r>
        <w:rPr>
          <w:rFonts w:ascii="Times New Roman" w:hAnsi="Times New Roman" w:eastAsia="宋体" w:cs="Times New Roman"/>
          <w:color w:val="auto"/>
          <w:sz w:val="28"/>
          <w:szCs w:val="32"/>
        </w:rPr>
        <w:t>连云港天丰沥青有限公司于2022年10月27日取得排污许可证（证书编号：9132070732377959XT001U ），主要包括沥青搅和生产线项目及废气综合整治技改项</w:t>
      </w:r>
      <w:r>
        <w:rPr>
          <w:rFonts w:ascii="Times New Roman" w:hAnsi="Times New Roman" w:eastAsia="宋体" w:cs="Times New Roman"/>
          <w:sz w:val="28"/>
          <w:szCs w:val="32"/>
        </w:rPr>
        <w:t>目内容，</w:t>
      </w:r>
      <w:r>
        <w:rPr>
          <w:rFonts w:hint="eastAsia" w:ascii="Times New Roman" w:hAnsi="Times New Roman" w:eastAsia="宋体" w:cs="Times New Roman"/>
          <w:sz w:val="28"/>
          <w:szCs w:val="32"/>
        </w:rPr>
        <w:t>现企业为实现清洁化生产将</w:t>
      </w:r>
      <w:r>
        <w:rPr>
          <w:rFonts w:ascii="Times New Roman" w:hAnsi="Times New Roman" w:eastAsia="宋体" w:cs="Times New Roman"/>
          <w:sz w:val="28"/>
          <w:szCs w:val="32"/>
        </w:rPr>
        <w:t>燃料</w:t>
      </w:r>
      <w:r>
        <w:rPr>
          <w:rFonts w:hint="eastAsia" w:ascii="Times New Roman" w:hAnsi="Times New Roman" w:eastAsia="宋体" w:cs="Times New Roman"/>
          <w:sz w:val="28"/>
          <w:szCs w:val="32"/>
        </w:rPr>
        <w:t>由柴油</w:t>
      </w:r>
      <w:r>
        <w:rPr>
          <w:rFonts w:ascii="Times New Roman" w:hAnsi="Times New Roman" w:eastAsia="宋体" w:cs="Times New Roman"/>
          <w:sz w:val="28"/>
          <w:szCs w:val="32"/>
        </w:rPr>
        <w:t>改为使用天然气</w:t>
      </w:r>
      <w:r>
        <w:rPr>
          <w:rFonts w:hint="eastAsia" w:ascii="Times New Roman" w:hAnsi="Times New Roman" w:eastAsia="宋体" w:cs="Times New Roman"/>
          <w:sz w:val="28"/>
          <w:szCs w:val="32"/>
        </w:rPr>
        <w:t>；为响应《关于推进全市建筑垃圾资源化利用工作的通知》（连城管发</w:t>
      </w:r>
      <w:r>
        <w:rPr>
          <w:rFonts w:ascii="Times New Roman" w:hAnsi="Times New Roman" w:eastAsia="宋体" w:cs="Times New Roman"/>
          <w:sz w:val="28"/>
          <w:szCs w:val="32"/>
        </w:rPr>
        <w:t>[2020]94</w:t>
      </w:r>
      <w:r>
        <w:rPr>
          <w:rFonts w:hint="eastAsia" w:ascii="Times New Roman" w:hAnsi="Times New Roman" w:eastAsia="宋体" w:cs="Times New Roman"/>
          <w:sz w:val="28"/>
          <w:szCs w:val="32"/>
        </w:rPr>
        <w:t>号）的号召，对建筑废料（主要为废旧沥青料）进行资源化再利用，同时为节约生产成本</w:t>
      </w:r>
      <w:r>
        <w:rPr>
          <w:rFonts w:hint="eastAsia" w:ascii="Times New Roman" w:hAnsi="Times New Roman" w:eastAsia="宋体" w:cs="Times New Roman"/>
          <w:sz w:val="28"/>
          <w:szCs w:val="32"/>
          <w:lang w:val="en-US" w:eastAsia="zh-CN"/>
        </w:rPr>
        <w:t>明确</w:t>
      </w:r>
      <w:r>
        <w:rPr>
          <w:rFonts w:ascii="Times New Roman" w:hAnsi="Times New Roman" w:eastAsia="宋体" w:cs="Times New Roman"/>
          <w:sz w:val="28"/>
          <w:szCs w:val="32"/>
        </w:rPr>
        <w:t>部分原料使用旧沥青混合料，根据《省生态环境厅关于加强涉变动项目环评与排污许可管理衔接的通知》（苏环办[2021]122号）文件要求：“涉及验收后变动，且变动内容对照《环评名录》不纳入环评管理的，按照《环评名录》要求不需要办理环评手续。排污单位建设的项目发生此类验收后变动，且属于《排污许可管理条例》重新申请排污许可证情形的，纳入排污许可证的重新申请管理。排污单位应提交《建设项目验收后变动环境影响分析》作为申请材料的附件，并对分析结论负责”。</w:t>
      </w:r>
    </w:p>
    <w:p>
      <w:pPr>
        <w:keepNext w:val="0"/>
        <w:keepLines w:val="0"/>
        <w:pageBreakBefore w:val="0"/>
        <w:kinsoku/>
        <w:wordWrap/>
        <w:overflowPunct/>
        <w:topLinePunct w:val="0"/>
        <w:autoSpaceDE/>
        <w:autoSpaceDN/>
        <w:bidi w:val="0"/>
        <w:adjustRightInd/>
        <w:snapToGrid/>
        <w:spacing w:line="500" w:lineRule="exact"/>
        <w:ind w:firstLine="560" w:firstLineChars="200"/>
        <w:contextualSpacing/>
        <w:textAlignment w:val="auto"/>
        <w:rPr>
          <w:rFonts w:ascii="Times New Roman" w:hAnsi="Times New Roman" w:eastAsia="宋体" w:cs="Times New Roman"/>
          <w:sz w:val="28"/>
          <w:szCs w:val="32"/>
        </w:rPr>
      </w:pPr>
      <w:r>
        <w:rPr>
          <w:rFonts w:ascii="Times New Roman" w:hAnsi="Times New Roman" w:eastAsia="宋体" w:cs="Times New Roman"/>
          <w:sz w:val="28"/>
          <w:szCs w:val="32"/>
        </w:rPr>
        <w:t>根据苏环办[2021]122号要求，连云港天丰沥青有限公司将变动内容对照《建设项目环境影响评价分类管理名录》逐一分析，确定企业变动内容不需要纳入环评管理范围，在此基础上连云港天丰沥青有限公司编制了《连云港天丰沥青有限公司建设项目验收后变动环境影响分析》，并将该变动影响分析作为企业变更申请排污许可证的附件，并对结论负责。</w:t>
      </w:r>
    </w:p>
    <w:p>
      <w:pPr>
        <w:pStyle w:val="3"/>
        <w:spacing w:before="0" w:beforeLines="0" w:after="0" w:afterLines="0"/>
        <w:ind w:left="210"/>
        <w:rPr>
          <w:rFonts w:eastAsia="宋体" w:cs="Times New Roman"/>
        </w:rPr>
      </w:pPr>
      <w:bookmarkStart w:id="5" w:name="_Toc150182758"/>
      <w:r>
        <w:rPr>
          <w:rFonts w:eastAsia="宋体" w:cs="Times New Roman"/>
        </w:rPr>
        <w:t>编制依据及项目文件</w:t>
      </w:r>
      <w:bookmarkEnd w:id="5"/>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（1）《连云港天丰沥青有限公司沥青搅和生产线项目环境影响报告表》，南京工业大学环境工程研究所，2014年11月；</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（2）《关于对连云港天丰沥青有限公司沥青搅和生产线项目环境影响报告表的审批意见》，赣榆县环境保护局，2014年11月19日；</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（3）《连云港天丰沥青有限公司沥青搅和生产线项目验收报告》，合肥工大天神环境检测有限公司，2016年10月。</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（4）《关于连云港天丰沥青有限公司沥青搅和生产线项目的验收意见》，赣榆县环境保护局，2016年11月10日。</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（9）《连云港天丰沥青有限公司</w:t>
      </w:r>
      <w:r>
        <w:rPr>
          <w:rFonts w:hint="eastAsia" w:ascii="Times New Roman" w:hAnsi="Times New Roman" w:eastAsia="宋体" w:cs="Times New Roman"/>
          <w:sz w:val="28"/>
          <w:szCs w:val="32"/>
        </w:rPr>
        <w:t>废气综合整治技改</w:t>
      </w:r>
      <w:r>
        <w:rPr>
          <w:rFonts w:ascii="Times New Roman" w:hAnsi="Times New Roman" w:eastAsia="宋体" w:cs="Times New Roman"/>
          <w:sz w:val="28"/>
          <w:szCs w:val="32"/>
        </w:rPr>
        <w:t>项目》，2022年05月20日，202232070700000111；</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（5）《连云港天丰沥青有限公司排污许可证》（编号：9132070732377959XT001U）；</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（6）《建设项目环境影响评价分类管理名录》（2021版）；</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（7）《排污许可管理条例》（国令第736号）；</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（8）《污染影响类建设项目重大变动清单（试行）》（环办环评函[2020]688号）；</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（9）《省生态环境厅关于加强涉变动项目环评与排污许可管理衔接的通知》（苏环办[2021]122号）。</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pStyle w:val="2"/>
        <w:spacing w:before="0" w:beforeLines="0" w:after="0" w:afterLines="0" w:line="600" w:lineRule="exact"/>
        <w:rPr>
          <w:rFonts w:eastAsia="宋体" w:cs="Times New Roman"/>
        </w:rPr>
      </w:pPr>
      <w:bookmarkStart w:id="6" w:name="_Toc150182759"/>
      <w:r>
        <w:rPr>
          <w:rFonts w:eastAsia="宋体" w:cs="Times New Roman"/>
        </w:rPr>
        <w:t>变动情况</w:t>
      </w:r>
      <w:bookmarkEnd w:id="6"/>
    </w:p>
    <w:p>
      <w:pPr>
        <w:pStyle w:val="3"/>
        <w:spacing w:before="0" w:beforeLines="0" w:after="0" w:afterLines="0"/>
        <w:ind w:left="210"/>
        <w:rPr>
          <w:rFonts w:eastAsia="宋体" w:cs="Times New Roman"/>
        </w:rPr>
      </w:pPr>
      <w:bookmarkStart w:id="7" w:name="_Toc150182760"/>
      <w:r>
        <w:rPr>
          <w:rFonts w:eastAsia="宋体" w:cs="Times New Roman"/>
        </w:rPr>
        <w:t>项目性质</w:t>
      </w:r>
      <w:bookmarkEnd w:id="7"/>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建设项目的开发、使用功能未发生变化，无变动。</w:t>
      </w:r>
    </w:p>
    <w:p>
      <w:pPr>
        <w:pStyle w:val="3"/>
        <w:spacing w:before="0" w:beforeLines="0" w:after="0" w:afterLines="0"/>
        <w:ind w:left="210"/>
        <w:rPr>
          <w:rFonts w:eastAsia="宋体" w:cs="Times New Roman"/>
        </w:rPr>
      </w:pPr>
      <w:bookmarkStart w:id="8" w:name="_Toc150182761"/>
      <w:r>
        <w:rPr>
          <w:rFonts w:eastAsia="宋体" w:cs="Times New Roman"/>
        </w:rPr>
        <w:t>建设规模</w:t>
      </w:r>
      <w:bookmarkEnd w:id="8"/>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建设项目的建设规模未发生变化，无变动。</w:t>
      </w:r>
    </w:p>
    <w:p>
      <w:pPr>
        <w:snapToGrid w:val="0"/>
        <w:spacing w:line="50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表2.2-1  项目主体工程及产品方案</w:t>
      </w:r>
    </w:p>
    <w:tbl>
      <w:tblPr>
        <w:tblStyle w:val="3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1"/>
        <w:gridCol w:w="2032"/>
        <w:gridCol w:w="2143"/>
        <w:gridCol w:w="2267"/>
        <w:gridCol w:w="1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24" w:type="pct"/>
            <w:gridSpan w:val="2"/>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产品（副产品）名称</w:t>
            </w:r>
          </w:p>
        </w:tc>
        <w:tc>
          <w:tcPr>
            <w:tcW w:w="1159"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运行时数h/a</w:t>
            </w:r>
          </w:p>
        </w:tc>
        <w:tc>
          <w:tcPr>
            <w:tcW w:w="1226"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生产规模（万m</w:t>
            </w:r>
            <w:r>
              <w:rPr>
                <w:rFonts w:ascii="Times New Roman" w:hAnsi="Times New Roman" w:eastAsia="宋体" w:cs="Times New Roman"/>
                <w:b/>
                <w:szCs w:val="21"/>
                <w:vertAlign w:val="superscript"/>
              </w:rPr>
              <w:t>3</w:t>
            </w:r>
            <w:r>
              <w:rPr>
                <w:rFonts w:ascii="Times New Roman" w:hAnsi="Times New Roman" w:eastAsia="宋体" w:cs="Times New Roman"/>
                <w:b/>
                <w:szCs w:val="21"/>
              </w:rPr>
              <w:t>/a）</w:t>
            </w:r>
          </w:p>
        </w:tc>
        <w:tc>
          <w:tcPr>
            <w:tcW w:w="989"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变动情况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5" w:type="pct"/>
            <w:tcBorders>
              <w:tl2br w:val="nil"/>
              <w:tr2bl w:val="nil"/>
            </w:tcBorders>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产品</w:t>
            </w:r>
          </w:p>
        </w:tc>
        <w:tc>
          <w:tcPr>
            <w:tcW w:w="1099" w:type="pct"/>
            <w:tcBorders>
              <w:tl2br w:val="nil"/>
              <w:tr2bl w:val="nil"/>
            </w:tcBorders>
            <w:vAlign w:val="center"/>
          </w:tcPr>
          <w:p>
            <w:pPr>
              <w:widowControl/>
              <w:ind w:left="-21" w:leftChars="-10" w:right="-120" w:rightChars="-57"/>
              <w:jc w:val="center"/>
              <w:rPr>
                <w:rFonts w:ascii="Times New Roman" w:hAnsi="Times New Roman" w:eastAsia="宋体" w:cs="Times New Roman"/>
                <w:szCs w:val="21"/>
              </w:rPr>
            </w:pPr>
            <w:r>
              <w:rPr>
                <w:rFonts w:ascii="Times New Roman" w:hAnsi="Times New Roman" w:eastAsia="宋体" w:cs="Times New Roman"/>
                <w:szCs w:val="21"/>
              </w:rPr>
              <w:t>沥青混凝土</w:t>
            </w:r>
          </w:p>
        </w:tc>
        <w:tc>
          <w:tcPr>
            <w:tcW w:w="1159" w:type="pct"/>
            <w:tcBorders>
              <w:tl2br w:val="nil"/>
              <w:tr2bl w:val="nil"/>
            </w:tcBorders>
            <w:vAlign w:val="center"/>
          </w:tcPr>
          <w:p>
            <w:pPr>
              <w:widowControl/>
              <w:ind w:left="-21" w:leftChars="-10" w:right="-120" w:rightChars="-57"/>
              <w:jc w:val="center"/>
              <w:rPr>
                <w:rFonts w:ascii="Times New Roman" w:hAnsi="Times New Roman" w:eastAsia="宋体" w:cs="Times New Roman"/>
                <w:szCs w:val="21"/>
              </w:rPr>
            </w:pPr>
            <w:r>
              <w:rPr>
                <w:rFonts w:ascii="Times New Roman" w:hAnsi="Times New Roman" w:eastAsia="宋体" w:cs="Times New Roman"/>
                <w:szCs w:val="21"/>
              </w:rPr>
              <w:t>1440</w:t>
            </w:r>
          </w:p>
        </w:tc>
        <w:tc>
          <w:tcPr>
            <w:tcW w:w="1226" w:type="pct"/>
            <w:tcBorders>
              <w:tl2br w:val="nil"/>
              <w:tr2bl w:val="nil"/>
            </w:tcBorders>
            <w:vAlign w:val="center"/>
          </w:tcPr>
          <w:p>
            <w:pPr>
              <w:widowControl/>
              <w:ind w:left="-21" w:leftChars="-10" w:right="-120" w:rightChars="-57"/>
              <w:jc w:val="center"/>
              <w:rPr>
                <w:rFonts w:ascii="Times New Roman" w:hAnsi="Times New Roman" w:eastAsia="宋体" w:cs="Times New Roman"/>
                <w:szCs w:val="21"/>
              </w:rPr>
            </w:pPr>
            <w:r>
              <w:rPr>
                <w:rFonts w:ascii="Times New Roman" w:hAnsi="Times New Roman" w:eastAsia="宋体" w:cs="Times New Roman"/>
                <w:szCs w:val="21"/>
              </w:rPr>
              <w:t>20</w:t>
            </w:r>
          </w:p>
        </w:tc>
        <w:tc>
          <w:tcPr>
            <w:tcW w:w="989" w:type="pct"/>
            <w:tcBorders>
              <w:tl2br w:val="nil"/>
              <w:tr2bl w:val="nil"/>
            </w:tcBorders>
            <w:vAlign w:val="center"/>
          </w:tcPr>
          <w:p>
            <w:pPr>
              <w:ind w:left="-67" w:leftChars="-32"/>
              <w:jc w:val="center"/>
              <w:rPr>
                <w:rFonts w:ascii="Times New Roman" w:hAnsi="Times New Roman" w:eastAsia="宋体" w:cs="Times New Roman"/>
                <w:szCs w:val="21"/>
              </w:rPr>
            </w:pPr>
            <w:r>
              <w:rPr>
                <w:rFonts w:ascii="Times New Roman" w:hAnsi="Times New Roman" w:eastAsia="宋体" w:cs="Times New Roman"/>
                <w:szCs w:val="21"/>
              </w:rPr>
              <w:t>无变动</w:t>
            </w:r>
          </w:p>
        </w:tc>
      </w:tr>
    </w:tbl>
    <w:p>
      <w:pPr>
        <w:pStyle w:val="3"/>
        <w:spacing w:before="0" w:beforeLines="0" w:after="0" w:afterLines="0"/>
        <w:rPr>
          <w:rFonts w:eastAsia="宋体" w:cs="Times New Roman"/>
        </w:rPr>
      </w:pPr>
      <w:bookmarkStart w:id="9" w:name="_Toc150182762"/>
      <w:r>
        <w:rPr>
          <w:rFonts w:eastAsia="宋体" w:cs="Times New Roman"/>
        </w:rPr>
        <w:t>建设地点</w:t>
      </w:r>
      <w:bookmarkEnd w:id="9"/>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项目位于连云港市赣榆区墩尚镇河口村，项目实际建设地点未发生变动。</w:t>
      </w:r>
    </w:p>
    <w:p>
      <w:pPr>
        <w:pStyle w:val="3"/>
        <w:spacing w:before="0" w:beforeLines="0" w:after="0" w:afterLines="0"/>
        <w:rPr>
          <w:rFonts w:eastAsia="宋体" w:cs="Times New Roman"/>
        </w:rPr>
      </w:pPr>
      <w:bookmarkStart w:id="10" w:name="_Toc150182763"/>
      <w:r>
        <w:rPr>
          <w:rFonts w:eastAsia="宋体" w:cs="Times New Roman"/>
        </w:rPr>
        <w:t>生产工艺</w:t>
      </w:r>
      <w:bookmarkEnd w:id="10"/>
    </w:p>
    <w:p>
      <w:pPr>
        <w:pStyle w:val="4"/>
        <w:rPr>
          <w:rFonts w:eastAsia="宋体" w:cs="Times New Roman"/>
        </w:rPr>
      </w:pPr>
      <w:r>
        <w:rPr>
          <w:rFonts w:eastAsia="宋体" w:cs="Times New Roman"/>
        </w:rPr>
        <w:t>变动前工艺</w:t>
      </w:r>
    </w:p>
    <w:p>
      <w:pPr>
        <w:numPr>
          <w:ilvl w:val="0"/>
          <w:numId w:val="2"/>
        </w:numPr>
        <w:spacing w:line="500" w:lineRule="exact"/>
        <w:ind w:firstLine="480"/>
        <w:rPr>
          <w:rFonts w:ascii="Times New Roman" w:hAnsi="Times New Roman" w:eastAsia="宋体" w:cs="Times New Roman"/>
          <w:b/>
          <w:bCs/>
          <w:kern w:val="28"/>
          <w:sz w:val="28"/>
          <w:szCs w:val="28"/>
        </w:rPr>
      </w:pPr>
      <w:r>
        <w:rPr>
          <w:rFonts w:ascii="Times New Roman" w:hAnsi="Times New Roman" w:eastAsia="宋体" w:cs="Times New Roman"/>
          <w:b/>
          <w:bCs/>
          <w:kern w:val="28"/>
          <w:sz w:val="28"/>
          <w:szCs w:val="28"/>
        </w:rPr>
        <w:t>工艺流程及描述</w:t>
      </w:r>
    </w:p>
    <w:p>
      <w:pPr>
        <w:ind w:firstLine="420" w:firstLineChars="200"/>
        <w:jc w:val="center"/>
        <w:rPr>
          <w:rFonts w:ascii="Times New Roman" w:hAnsi="Times New Roman" w:eastAsia="宋体" w:cs="Times New Roman"/>
          <w:caps/>
          <w:szCs w:val="28"/>
        </w:rPr>
      </w:pPr>
      <w:bookmarkStart w:id="11" w:name="_1706098444"/>
      <w:bookmarkEnd w:id="11"/>
      <w:r>
        <w:rPr>
          <w:rFonts w:ascii="Times New Roman" w:hAnsi="Times New Roman" w:eastAsia="宋体" w:cs="Times New Roman"/>
          <w:caps/>
          <w:szCs w:val="28"/>
        </w:rPr>
        <w:object>
          <v:shape id="_x0000_i1025" o:spt="75" type="#_x0000_t75" style="height:248.15pt;width:416.95pt;" o:ole="t" filled="f" o:preferrelative="t" stroked="f" coordsize="21600,21600">
            <v:path/>
            <v:fill on="f" focussize="0,0"/>
            <v:stroke on="f" joinstyle="miter"/>
            <v:imagedata r:id="rId9" croptop="5047f" cropbottom="5561f" o:title=""/>
            <o:lock v:ext="edit" aspectratio="t"/>
            <w10:wrap type="none"/>
            <w10:anchorlock/>
          </v:shape>
          <o:OLEObject Type="Embed" ProgID="Word.Document.8" ShapeID="_x0000_i1025" DrawAspect="Content" ObjectID="_1468075725" r:id="rId8">
            <o:LockedField>false</o:LockedField>
          </o:OLEObject>
        </w:object>
      </w:r>
    </w:p>
    <w:p>
      <w:pPr>
        <w:ind w:firstLine="420" w:firstLineChars="200"/>
        <w:jc w:val="center"/>
        <w:rPr>
          <w:rFonts w:ascii="Times New Roman" w:hAnsi="Times New Roman" w:eastAsia="宋体" w:cs="Times New Roman"/>
          <w:b/>
          <w:sz w:val="24"/>
        </w:rPr>
      </w:pPr>
      <w:r>
        <w:rPr>
          <w:rFonts w:ascii="Times New Roman" w:hAnsi="Times New Roman" w:eastAsia="宋体" w:cs="Times New Roman"/>
          <w:caps/>
          <w:szCs w:val="28"/>
        </w:rPr>
        <w:t>图</w:t>
      </w:r>
      <w:r>
        <w:rPr>
          <w:rFonts w:ascii="Times New Roman" w:hAnsi="Times New Roman" w:eastAsia="宋体" w:cs="Times New Roman"/>
          <w:b/>
          <w:sz w:val="24"/>
        </w:rPr>
        <w:t>2.4-1</w:t>
      </w:r>
      <w:r>
        <w:rPr>
          <w:rFonts w:ascii="Times New Roman" w:hAnsi="Times New Roman" w:eastAsia="宋体" w:cs="Times New Roman"/>
          <w:b/>
          <w:sz w:val="24"/>
          <w:lang w:bidi="ar"/>
        </w:rPr>
        <w:t>生产工艺流程及产污环节</w:t>
      </w:r>
      <w:r>
        <w:rPr>
          <w:rFonts w:ascii="Times New Roman" w:hAnsi="Times New Roman" w:eastAsia="宋体" w:cs="Times New Roman"/>
          <w:b/>
          <w:sz w:val="24"/>
        </w:rPr>
        <w:t>图</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生产工艺简述：搅拌站先行备料，将沥青</w:t>
      </w:r>
      <w:r>
        <w:rPr>
          <w:rFonts w:hint="eastAsia" w:ascii="Times New Roman" w:hAnsi="Times New Roman" w:eastAsia="宋体" w:cs="Times New Roman"/>
          <w:sz w:val="28"/>
          <w:szCs w:val="18"/>
        </w:rPr>
        <w:t>经导热油炉间接加热后</w:t>
      </w:r>
      <w:r>
        <w:rPr>
          <w:rFonts w:ascii="Times New Roman" w:hAnsi="Times New Roman" w:eastAsia="宋体" w:cs="Times New Roman"/>
          <w:sz w:val="28"/>
          <w:szCs w:val="18"/>
        </w:rPr>
        <w:t>输送到搅拌机</w:t>
      </w:r>
      <w:r>
        <w:rPr>
          <w:rFonts w:hint="eastAsia" w:ascii="Times New Roman" w:hAnsi="Times New Roman" w:eastAsia="宋体" w:cs="Times New Roman"/>
          <w:sz w:val="28"/>
          <w:szCs w:val="18"/>
        </w:rPr>
        <w:t>，石子、砂经燃烧器直接加热后输送至搅拌站（环评报告中虽描述为石子、砂为导热油炉间接加热，但是设备清单中有干燥机及高温加热器，此设备为直接加热的设备，且根据企业多年实际生产情况一直为直接加热，故本次评价认为现有项目的石子、砂加热方式为直接加热。同时实际为石子加热工序干燥筒翻滚过程中产生的粉尘，故本项目粉尘产生工序实际为石子、加热工序，而非沥青搅拌工序）</w:t>
      </w:r>
      <w:r>
        <w:rPr>
          <w:rFonts w:ascii="Times New Roman" w:hAnsi="Times New Roman" w:eastAsia="宋体" w:cs="Times New Roman"/>
          <w:sz w:val="28"/>
          <w:szCs w:val="18"/>
        </w:rPr>
        <w:t>，搅拌均匀后，输送至沥青混凝土自卸翻斗车，由翻斗车送到用户指定的建筑工地。沥青混凝土配合比按施工要求配合比取定。</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主要污染工序：</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（1）沥青混凝土生产线沥青加热、搅拌工序产生沥青烟废气，</w:t>
      </w:r>
      <w:r>
        <w:rPr>
          <w:rFonts w:hint="eastAsia" w:ascii="Times New Roman" w:hAnsi="Times New Roman" w:eastAsia="宋体" w:cs="Times New Roman"/>
          <w:sz w:val="28"/>
          <w:szCs w:val="18"/>
        </w:rPr>
        <w:t>石子、砂配料、加热过程中产生的</w:t>
      </w:r>
      <w:r>
        <w:rPr>
          <w:rFonts w:ascii="Times New Roman" w:hAnsi="Times New Roman" w:eastAsia="宋体" w:cs="Times New Roman"/>
          <w:sz w:val="28"/>
          <w:szCs w:val="18"/>
        </w:rPr>
        <w:t>粉尘</w:t>
      </w:r>
      <w:r>
        <w:rPr>
          <w:rFonts w:hint="eastAsia" w:ascii="Times New Roman" w:hAnsi="Times New Roman" w:eastAsia="宋体" w:cs="Times New Roman"/>
          <w:sz w:val="28"/>
          <w:szCs w:val="18"/>
        </w:rPr>
        <w:t>和燃烧废气（</w:t>
      </w:r>
      <w:r>
        <w:rPr>
          <w:rFonts w:ascii="Times New Roman" w:hAnsi="Times New Roman" w:eastAsia="宋体" w:cs="Times New Roman"/>
          <w:sz w:val="28"/>
          <w:szCs w:val="18"/>
        </w:rPr>
        <w:t>烟尘</w:t>
      </w:r>
      <w:r>
        <w:rPr>
          <w:rFonts w:hint="eastAsia" w:ascii="Times New Roman" w:hAnsi="Times New Roman" w:eastAsia="宋体" w:cs="Times New Roman"/>
          <w:sz w:val="28"/>
          <w:szCs w:val="18"/>
        </w:rPr>
        <w:t>、</w:t>
      </w:r>
      <w:r>
        <w:rPr>
          <w:rFonts w:ascii="Times New Roman" w:hAnsi="Times New Roman" w:eastAsia="宋体" w:cs="Times New Roman"/>
          <w:sz w:val="28"/>
          <w:szCs w:val="18"/>
        </w:rPr>
        <w:t>二氧化硫</w:t>
      </w:r>
      <w:r>
        <w:rPr>
          <w:rFonts w:hint="eastAsia" w:ascii="Times New Roman" w:hAnsi="Times New Roman" w:eastAsia="宋体" w:cs="Times New Roman"/>
          <w:sz w:val="28"/>
          <w:szCs w:val="18"/>
        </w:rPr>
        <w:t>、氮氧化物）</w:t>
      </w:r>
      <w:r>
        <w:rPr>
          <w:rFonts w:ascii="Times New Roman" w:hAnsi="Times New Roman" w:eastAsia="宋体" w:cs="Times New Roman"/>
          <w:sz w:val="28"/>
          <w:szCs w:val="18"/>
        </w:rPr>
        <w:t>。</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（2）加热导热炉的燃油锅炉产生</w:t>
      </w:r>
      <w:r>
        <w:rPr>
          <w:rFonts w:hint="eastAsia" w:ascii="Times New Roman" w:hAnsi="Times New Roman" w:eastAsia="宋体" w:cs="Times New Roman"/>
          <w:sz w:val="28"/>
          <w:szCs w:val="18"/>
        </w:rPr>
        <w:t>的燃烧废气（</w:t>
      </w:r>
      <w:r>
        <w:rPr>
          <w:rFonts w:ascii="Times New Roman" w:hAnsi="Times New Roman" w:eastAsia="宋体" w:cs="Times New Roman"/>
          <w:sz w:val="28"/>
          <w:szCs w:val="18"/>
        </w:rPr>
        <w:t>烟尘</w:t>
      </w:r>
      <w:r>
        <w:rPr>
          <w:rFonts w:hint="eastAsia" w:ascii="Times New Roman" w:hAnsi="Times New Roman" w:eastAsia="宋体" w:cs="Times New Roman"/>
          <w:sz w:val="28"/>
          <w:szCs w:val="18"/>
        </w:rPr>
        <w:t>、</w:t>
      </w:r>
      <w:r>
        <w:rPr>
          <w:rFonts w:ascii="Times New Roman" w:hAnsi="Times New Roman" w:eastAsia="宋体" w:cs="Times New Roman"/>
          <w:sz w:val="28"/>
          <w:szCs w:val="18"/>
        </w:rPr>
        <w:t>二氧化硫</w:t>
      </w:r>
      <w:r>
        <w:rPr>
          <w:rFonts w:hint="eastAsia" w:ascii="Times New Roman" w:hAnsi="Times New Roman" w:eastAsia="宋体" w:cs="Times New Roman"/>
          <w:sz w:val="28"/>
          <w:szCs w:val="18"/>
        </w:rPr>
        <w:t>、氮氧化物）</w:t>
      </w:r>
      <w:r>
        <w:rPr>
          <w:rFonts w:ascii="Times New Roman" w:hAnsi="Times New Roman" w:eastAsia="宋体" w:cs="Times New Roman"/>
          <w:sz w:val="28"/>
          <w:szCs w:val="18"/>
        </w:rPr>
        <w:t>。</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（3）生产设备、进出车辆产生噪声。</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（4）职工产生生活污水。</w:t>
      </w:r>
    </w:p>
    <w:p>
      <w:pPr>
        <w:spacing w:line="500" w:lineRule="exact"/>
        <w:ind w:firstLine="562" w:firstLineChars="200"/>
        <w:rPr>
          <w:rFonts w:ascii="Times New Roman" w:hAnsi="Times New Roman" w:eastAsia="宋体" w:cs="Times New Roman"/>
          <w:b/>
          <w:bCs/>
          <w:sz w:val="28"/>
          <w:szCs w:val="28"/>
        </w:rPr>
      </w:pPr>
      <w:r>
        <w:rPr>
          <w:rFonts w:ascii="Times New Roman" w:hAnsi="Times New Roman" w:eastAsia="宋体" w:cs="Times New Roman"/>
          <w:b/>
          <w:bCs/>
          <w:sz w:val="28"/>
          <w:szCs w:val="28"/>
        </w:rPr>
        <w:t>二、物料能源消耗</w:t>
      </w:r>
    </w:p>
    <w:p>
      <w:pPr>
        <w:spacing w:line="50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18"/>
        </w:rPr>
        <w:t>项目使用的原辅料消耗详见表2.4-1。</w:t>
      </w:r>
    </w:p>
    <w:p>
      <w:pPr>
        <w:spacing w:line="50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表2.4-1   项目主要原辅料及能源消耗</w:t>
      </w:r>
    </w:p>
    <w:tbl>
      <w:tblPr>
        <w:tblStyle w:val="3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2"/>
        <w:gridCol w:w="2493"/>
        <w:gridCol w:w="2473"/>
        <w:gridCol w:w="32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1" w:type="dxa"/>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序号</w:t>
            </w:r>
          </w:p>
        </w:tc>
        <w:tc>
          <w:tcPr>
            <w:tcW w:w="3083" w:type="dxa"/>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名称</w:t>
            </w:r>
          </w:p>
        </w:tc>
        <w:tc>
          <w:tcPr>
            <w:tcW w:w="3058" w:type="dxa"/>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年耗量（t/a）</w:t>
            </w:r>
          </w:p>
        </w:tc>
        <w:tc>
          <w:tcPr>
            <w:tcW w:w="4081" w:type="dxa"/>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来源及运输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308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石头</w:t>
            </w:r>
          </w:p>
        </w:tc>
        <w:tc>
          <w:tcPr>
            <w:tcW w:w="305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200000</w:t>
            </w:r>
          </w:p>
        </w:tc>
        <w:tc>
          <w:tcPr>
            <w:tcW w:w="40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外购汽运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308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沥青</w:t>
            </w:r>
          </w:p>
        </w:tc>
        <w:tc>
          <w:tcPr>
            <w:tcW w:w="305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8000</w:t>
            </w:r>
          </w:p>
        </w:tc>
        <w:tc>
          <w:tcPr>
            <w:tcW w:w="40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外购汽运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308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砂子</w:t>
            </w:r>
          </w:p>
        </w:tc>
        <w:tc>
          <w:tcPr>
            <w:tcW w:w="305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40000</w:t>
            </w:r>
          </w:p>
        </w:tc>
        <w:tc>
          <w:tcPr>
            <w:tcW w:w="40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外购汽运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3083" w:type="dxa"/>
            <w:tcBorders>
              <w:tl2br w:val="nil"/>
              <w:tr2bl w:val="nil"/>
            </w:tcBorders>
            <w:vAlign w:val="center"/>
          </w:tcPr>
          <w:p>
            <w:pPr>
              <w:jc w:val="center"/>
              <w:rPr>
                <w:rFonts w:hint="eastAsia" w:ascii="Times New Roman" w:hAnsi="Times New Roman" w:eastAsia="宋体" w:cs="Times New Roman"/>
                <w:szCs w:val="21"/>
                <w:lang w:eastAsia="zh-CN"/>
              </w:rPr>
            </w:pPr>
            <w:r>
              <w:rPr>
                <w:rFonts w:ascii="Times New Roman" w:hAnsi="Times New Roman" w:eastAsia="宋体" w:cs="Times New Roman"/>
                <w:szCs w:val="21"/>
              </w:rPr>
              <w:t>柴油</w:t>
            </w:r>
          </w:p>
        </w:tc>
        <w:tc>
          <w:tcPr>
            <w:tcW w:w="305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300</w:t>
            </w:r>
          </w:p>
        </w:tc>
        <w:tc>
          <w:tcPr>
            <w:tcW w:w="40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外购汽运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9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308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导热油</w:t>
            </w:r>
          </w:p>
        </w:tc>
        <w:tc>
          <w:tcPr>
            <w:tcW w:w="305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100-200</w:t>
            </w:r>
          </w:p>
        </w:tc>
        <w:tc>
          <w:tcPr>
            <w:tcW w:w="40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外购汽运</w:t>
            </w:r>
          </w:p>
        </w:tc>
      </w:tr>
    </w:tbl>
    <w:p>
      <w:pPr>
        <w:rPr>
          <w:rFonts w:ascii="Times New Roman" w:hAnsi="Times New Roman" w:eastAsia="宋体" w:cs="Times New Roman"/>
          <w:color w:val="auto"/>
          <w:szCs w:val="21"/>
        </w:rPr>
      </w:pPr>
      <w:r>
        <w:rPr>
          <w:rFonts w:ascii="Times New Roman" w:hAnsi="Times New Roman" w:eastAsia="宋体" w:cs="Times New Roman"/>
        </w:rPr>
        <w:t>备注</w:t>
      </w:r>
      <w:r>
        <w:rPr>
          <w:rFonts w:ascii="Times New Roman" w:hAnsi="Times New Roman" w:eastAsia="宋体" w:cs="Times New Roman"/>
          <w:color w:val="auto"/>
        </w:rPr>
        <w:t>：根据企业</w:t>
      </w:r>
      <w:r>
        <w:rPr>
          <w:rFonts w:hint="eastAsia" w:ascii="Times New Roman" w:hAnsi="Times New Roman" w:eastAsia="宋体" w:cs="Times New Roman"/>
          <w:color w:val="auto"/>
        </w:rPr>
        <w:t>生产经验</w:t>
      </w:r>
      <w:r>
        <w:rPr>
          <w:rFonts w:ascii="Times New Roman" w:hAnsi="Times New Roman" w:eastAsia="宋体" w:cs="Times New Roman"/>
          <w:color w:val="auto"/>
        </w:rPr>
        <w:t>，</w:t>
      </w:r>
      <w:r>
        <w:rPr>
          <w:rFonts w:hint="eastAsia" w:ascii="Times New Roman" w:hAnsi="Times New Roman" w:eastAsia="宋体" w:cs="Times New Roman"/>
          <w:color w:val="auto"/>
        </w:rPr>
        <w:t>实际上为</w:t>
      </w:r>
      <w:r>
        <w:rPr>
          <w:rFonts w:ascii="Times New Roman" w:hAnsi="Times New Roman" w:eastAsia="宋体" w:cs="Times New Roman"/>
          <w:color w:val="auto"/>
        </w:rPr>
        <w:t>导热油使用量为</w:t>
      </w:r>
      <w:r>
        <w:rPr>
          <w:rFonts w:ascii="Times New Roman" w:hAnsi="Times New Roman" w:eastAsia="宋体" w:cs="Times New Roman"/>
          <w:color w:val="auto"/>
          <w:szCs w:val="21"/>
        </w:rPr>
        <w:t>100-200</w:t>
      </w:r>
      <w:r>
        <w:rPr>
          <w:rFonts w:ascii="Times New Roman" w:hAnsi="Times New Roman" w:eastAsia="宋体" w:cs="Times New Roman"/>
          <w:color w:val="auto"/>
          <w:kern w:val="0"/>
          <w:szCs w:val="21"/>
        </w:rPr>
        <w:t>t/a</w:t>
      </w:r>
      <w:r>
        <w:rPr>
          <w:rFonts w:ascii="Times New Roman" w:hAnsi="Times New Roman" w:eastAsia="宋体" w:cs="Times New Roman"/>
          <w:color w:val="auto"/>
          <w:szCs w:val="21"/>
        </w:rPr>
        <w:t>，砂子使用量为40000</w:t>
      </w:r>
      <w:r>
        <w:rPr>
          <w:rFonts w:ascii="Times New Roman" w:hAnsi="Times New Roman" w:eastAsia="宋体" w:cs="Times New Roman"/>
          <w:color w:val="auto"/>
          <w:kern w:val="0"/>
          <w:szCs w:val="21"/>
        </w:rPr>
        <w:t>t/a</w:t>
      </w:r>
      <w:r>
        <w:rPr>
          <w:rFonts w:hint="eastAsia" w:ascii="Times New Roman" w:hAnsi="Times New Roman" w:eastAsia="宋体" w:cs="Times New Roman"/>
          <w:color w:val="auto"/>
          <w:szCs w:val="21"/>
        </w:rPr>
        <w:t>。因实际生产情况不会发生一年使用</w:t>
      </w:r>
      <w:r>
        <w:rPr>
          <w:rFonts w:ascii="Times New Roman" w:hAnsi="Times New Roman" w:eastAsia="宋体" w:cs="Times New Roman"/>
          <w:color w:val="auto"/>
          <w:szCs w:val="21"/>
        </w:rPr>
        <w:t>导热油</w:t>
      </w:r>
      <w:r>
        <w:rPr>
          <w:rFonts w:hint="eastAsia" w:ascii="Times New Roman" w:hAnsi="Times New Roman" w:eastAsia="宋体" w:cs="Times New Roman"/>
          <w:color w:val="auto"/>
          <w:szCs w:val="21"/>
        </w:rPr>
        <w:t>40000</w:t>
      </w:r>
      <w:r>
        <w:rPr>
          <w:rFonts w:ascii="Times New Roman" w:hAnsi="Times New Roman" w:eastAsia="宋体" w:cs="Times New Roman"/>
          <w:color w:val="auto"/>
          <w:kern w:val="0"/>
          <w:szCs w:val="21"/>
        </w:rPr>
        <w:t>t/a</w:t>
      </w:r>
      <w:r>
        <w:rPr>
          <w:rFonts w:hint="eastAsia" w:ascii="Times New Roman" w:hAnsi="Times New Roman" w:eastAsia="宋体" w:cs="Times New Roman"/>
          <w:color w:val="auto"/>
          <w:kern w:val="0"/>
          <w:szCs w:val="21"/>
        </w:rPr>
        <w:t>或者沥青行业一年使用砂子100-200</w:t>
      </w:r>
      <w:r>
        <w:rPr>
          <w:rFonts w:ascii="Times New Roman" w:hAnsi="Times New Roman" w:eastAsia="宋体" w:cs="Times New Roman"/>
          <w:color w:val="auto"/>
          <w:kern w:val="0"/>
          <w:szCs w:val="21"/>
        </w:rPr>
        <w:t>t/a</w:t>
      </w:r>
      <w:r>
        <w:rPr>
          <w:rFonts w:hint="eastAsia" w:ascii="Times New Roman" w:hAnsi="Times New Roman" w:eastAsia="宋体" w:cs="Times New Roman"/>
          <w:color w:val="auto"/>
          <w:kern w:val="0"/>
          <w:szCs w:val="21"/>
        </w:rPr>
        <w:t>的情况，原环评文件中这两类原辅料的消耗量存在明显的逻辑错误，故本次评价认为</w:t>
      </w:r>
      <w:r>
        <w:rPr>
          <w:rFonts w:ascii="Times New Roman" w:hAnsi="Times New Roman" w:eastAsia="宋体" w:cs="Times New Roman"/>
          <w:color w:val="auto"/>
          <w:szCs w:val="21"/>
        </w:rPr>
        <w:t>环评报告中属于书写错误</w:t>
      </w:r>
      <w:r>
        <w:rPr>
          <w:rFonts w:hint="eastAsia" w:ascii="Times New Roman" w:hAnsi="Times New Roman" w:eastAsia="宋体" w:cs="Times New Roman"/>
          <w:color w:val="auto"/>
          <w:szCs w:val="21"/>
        </w:rPr>
        <w:t>，并予以订正</w:t>
      </w:r>
      <w:r>
        <w:rPr>
          <w:rFonts w:ascii="Times New Roman" w:hAnsi="Times New Roman" w:eastAsia="宋体" w:cs="Times New Roman"/>
          <w:color w:val="auto"/>
          <w:szCs w:val="21"/>
        </w:rPr>
        <w:t>。</w:t>
      </w:r>
    </w:p>
    <w:p>
      <w:pPr>
        <w:rPr>
          <w:rFonts w:ascii="Times New Roman" w:hAnsi="Times New Roman" w:eastAsia="宋体" w:cs="Times New Roman"/>
          <w:b/>
          <w:bCs/>
          <w:sz w:val="28"/>
          <w:szCs w:val="28"/>
        </w:rPr>
      </w:pPr>
      <w:r>
        <w:rPr>
          <w:rFonts w:ascii="Times New Roman" w:hAnsi="Times New Roman" w:eastAsia="宋体" w:cs="Times New Roman"/>
          <w:b/>
          <w:bCs/>
          <w:sz w:val="28"/>
          <w:szCs w:val="28"/>
        </w:rPr>
        <w:t>三、生产设备一览表</w:t>
      </w:r>
    </w:p>
    <w:p>
      <w:pPr>
        <w:spacing w:line="500" w:lineRule="exact"/>
        <w:ind w:firstLine="560" w:firstLineChars="200"/>
        <w:rPr>
          <w:rFonts w:hint="eastAsia" w:ascii="Times New Roman" w:hAnsi="Times New Roman" w:eastAsia="宋体" w:cs="Times New Roman"/>
          <w:kern w:val="0"/>
          <w:sz w:val="28"/>
          <w:szCs w:val="28"/>
        </w:rPr>
      </w:pPr>
      <w:r>
        <w:rPr>
          <w:rFonts w:ascii="Times New Roman" w:hAnsi="Times New Roman" w:eastAsia="宋体" w:cs="Times New Roman"/>
          <w:kern w:val="0"/>
          <w:sz w:val="28"/>
          <w:szCs w:val="28"/>
        </w:rPr>
        <w:t>项目营运期主要生产设备情况见表2.4-2。</w:t>
      </w:r>
    </w:p>
    <w:p>
      <w:pPr>
        <w:spacing w:line="500" w:lineRule="exact"/>
        <w:jc w:val="center"/>
        <w:rPr>
          <w:rFonts w:ascii="Times New Roman" w:hAnsi="Times New Roman" w:eastAsia="宋体" w:cs="Times New Roman"/>
          <w:b/>
          <w:sz w:val="24"/>
          <w:szCs w:val="24"/>
        </w:rPr>
      </w:pPr>
      <w:r>
        <w:rPr>
          <w:rFonts w:ascii="Times New Roman" w:hAnsi="Times New Roman" w:eastAsia="宋体" w:cs="Times New Roman"/>
          <w:b/>
          <w:sz w:val="24"/>
          <w:szCs w:val="24"/>
        </w:rPr>
        <w:t>表2.4-2  项目运营期主要设备表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13"/>
        <w:gridCol w:w="2369"/>
        <w:gridCol w:w="2101"/>
        <w:gridCol w:w="1729"/>
        <w:gridCol w:w="17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281"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设备名称</w:t>
            </w:r>
          </w:p>
        </w:tc>
        <w:tc>
          <w:tcPr>
            <w:tcW w:w="1136"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数量（台）</w:t>
            </w:r>
          </w:p>
        </w:tc>
        <w:tc>
          <w:tcPr>
            <w:tcW w:w="935"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型号/规格</w:t>
            </w:r>
          </w:p>
        </w:tc>
        <w:tc>
          <w:tcPr>
            <w:tcW w:w="935" w:type="pc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间歇式沥青拌和设备</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3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Csd3000</w:t>
            </w:r>
          </w:p>
        </w:tc>
        <w:tc>
          <w:tcPr>
            <w:tcW w:w="93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综合配料机</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93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干燥机</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高温加热器</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hint="eastAsia" w:ascii="Times New Roman" w:hAnsi="Times New Roman" w:eastAsia="宋体" w:cs="Times New Roman"/>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储料罐</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推土机</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压路机</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运输车</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地磅</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3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150t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液压伸缩摊铺机</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化验仪器及设备</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71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w:t>
            </w:r>
          </w:p>
        </w:tc>
        <w:tc>
          <w:tcPr>
            <w:tcW w:w="128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变压器</w:t>
            </w:r>
          </w:p>
        </w:tc>
        <w:tc>
          <w:tcPr>
            <w:tcW w:w="11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3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800kv、80kv</w:t>
            </w:r>
          </w:p>
        </w:tc>
        <w:tc>
          <w:tcPr>
            <w:tcW w:w="173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r>
    </w:tbl>
    <w:p>
      <w:pPr>
        <w:pStyle w:val="4"/>
        <w:rPr>
          <w:rFonts w:eastAsia="宋体" w:cs="Times New Roman"/>
        </w:rPr>
      </w:pPr>
      <w:r>
        <w:rPr>
          <w:rFonts w:eastAsia="宋体" w:cs="Times New Roman"/>
        </w:rPr>
        <w:t>变动后工艺</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已验收各产品生产工艺及产能较原环评未发生变动，但是</w:t>
      </w:r>
      <w:r>
        <w:rPr>
          <w:rFonts w:hint="eastAsia" w:ascii="Times New Roman" w:hAnsi="Times New Roman" w:eastAsia="宋体" w:cs="Times New Roman"/>
          <w:sz w:val="28"/>
          <w:szCs w:val="32"/>
        </w:rPr>
        <w:t>为实现更加清洁化的生产将</w:t>
      </w:r>
      <w:r>
        <w:rPr>
          <w:rFonts w:ascii="Times New Roman" w:hAnsi="Times New Roman" w:eastAsia="宋体" w:cs="Times New Roman"/>
          <w:sz w:val="28"/>
          <w:szCs w:val="32"/>
        </w:rPr>
        <w:t>燃料</w:t>
      </w:r>
      <w:r>
        <w:rPr>
          <w:rFonts w:hint="eastAsia" w:ascii="Times New Roman" w:hAnsi="Times New Roman" w:eastAsia="宋体" w:cs="Times New Roman"/>
          <w:sz w:val="28"/>
          <w:szCs w:val="32"/>
        </w:rPr>
        <w:t>由柴油</w:t>
      </w:r>
      <w:r>
        <w:rPr>
          <w:rFonts w:ascii="Times New Roman" w:hAnsi="Times New Roman" w:eastAsia="宋体" w:cs="Times New Roman"/>
          <w:sz w:val="28"/>
          <w:szCs w:val="32"/>
        </w:rPr>
        <w:t>改为使用天然气 ，柴油作为备用</w:t>
      </w:r>
      <w:r>
        <w:rPr>
          <w:rFonts w:hint="eastAsia" w:ascii="Times New Roman" w:hAnsi="Times New Roman" w:eastAsia="宋体" w:cs="Times New Roman"/>
          <w:sz w:val="28"/>
          <w:szCs w:val="32"/>
        </w:rPr>
        <w:t>；为响应《关于推进全市建筑垃圾资源化利用工作的通知》（连城管发</w:t>
      </w:r>
      <w:r>
        <w:rPr>
          <w:rFonts w:ascii="Times New Roman" w:hAnsi="Times New Roman" w:eastAsia="宋体" w:cs="Times New Roman"/>
          <w:sz w:val="28"/>
          <w:szCs w:val="32"/>
        </w:rPr>
        <w:t>[2020]94</w:t>
      </w:r>
      <w:r>
        <w:rPr>
          <w:rFonts w:hint="eastAsia" w:ascii="Times New Roman" w:hAnsi="Times New Roman" w:eastAsia="宋体" w:cs="Times New Roman"/>
          <w:sz w:val="28"/>
          <w:szCs w:val="32"/>
        </w:rPr>
        <w:t>号）的号召，对建筑废料（主要为废旧沥青料）进行资源化再利用，同时为节约生产成本</w:t>
      </w:r>
      <w:r>
        <w:rPr>
          <w:rFonts w:hint="eastAsia" w:ascii="Times New Roman" w:hAnsi="Times New Roman" w:eastAsia="宋体" w:cs="Times New Roman"/>
          <w:sz w:val="28"/>
          <w:szCs w:val="32"/>
          <w:lang w:val="en-US" w:eastAsia="zh-CN"/>
        </w:rPr>
        <w:t>明确</w:t>
      </w:r>
      <w:r>
        <w:rPr>
          <w:rFonts w:ascii="Times New Roman" w:hAnsi="Times New Roman" w:eastAsia="宋体" w:cs="Times New Roman"/>
          <w:sz w:val="28"/>
          <w:szCs w:val="32"/>
        </w:rPr>
        <w:t>部分原料使用旧沥青混合料</w:t>
      </w:r>
      <w:r>
        <w:rPr>
          <w:rFonts w:hint="eastAsia" w:ascii="Times New Roman" w:hAnsi="Times New Roman" w:eastAsia="宋体" w:cs="Times New Roman"/>
          <w:sz w:val="28"/>
          <w:szCs w:val="32"/>
        </w:rPr>
        <w:t>。</w:t>
      </w:r>
    </w:p>
    <w:p>
      <w:pPr>
        <w:spacing w:line="500" w:lineRule="exact"/>
        <w:ind w:firstLine="480"/>
        <w:rPr>
          <w:rFonts w:ascii="Times New Roman" w:hAnsi="Times New Roman" w:eastAsia="宋体" w:cs="Times New Roman"/>
          <w:b/>
          <w:bCs/>
          <w:kern w:val="28"/>
          <w:sz w:val="28"/>
          <w:szCs w:val="28"/>
        </w:rPr>
      </w:pPr>
      <w:r>
        <w:rPr>
          <w:rFonts w:ascii="Times New Roman" w:hAnsi="Times New Roman" w:eastAsia="宋体" w:cs="Times New Roman"/>
          <w:b/>
          <w:bCs/>
          <w:kern w:val="28"/>
          <w:sz w:val="28"/>
          <w:szCs w:val="28"/>
        </w:rPr>
        <w:t>一、工艺流程及描述</w:t>
      </w:r>
    </w:p>
    <w:p>
      <w:pPr>
        <w:ind w:firstLine="420" w:firstLineChars="200"/>
        <w:jc w:val="center"/>
        <w:rPr>
          <w:rFonts w:ascii="Times New Roman" w:hAnsi="Times New Roman" w:eastAsia="宋体" w:cs="Times New Roman"/>
          <w:caps/>
          <w:szCs w:val="28"/>
        </w:rPr>
      </w:pPr>
      <w:r>
        <w:rPr>
          <w:rFonts w:ascii="Times New Roman" w:hAnsi="Times New Roman" w:eastAsia="宋体" w:cs="Times New Roman"/>
          <w:caps/>
          <w:szCs w:val="28"/>
        </w:rPr>
        <w:object>
          <v:shape id="_x0000_i1026" o:spt="75" type="#_x0000_t75" style="height:381.55pt;width:416.95pt;" o:ole="t" filled="f" o:preferrelative="t" stroked="f" coordsize="21600,21600">
            <v:path/>
            <v:fill on="f" focussize="0,0"/>
            <v:stroke on="f"/>
            <v:imagedata r:id="rId11" croptop="2252f" cropbottom="6882f" o:title=""/>
            <o:lock v:ext="edit" aspectratio="t"/>
            <w10:wrap type="none"/>
            <w10:anchorlock/>
          </v:shape>
          <o:OLEObject Type="Embed" ProgID="Word.Document.8" ShapeID="_x0000_i1026" DrawAspect="Content" ObjectID="_1468075726" r:id="rId10">
            <o:LockedField>false</o:LockedField>
          </o:OLEObject>
        </w:object>
      </w:r>
    </w:p>
    <w:p>
      <w:pPr>
        <w:ind w:firstLine="482" w:firstLineChars="200"/>
        <w:jc w:val="center"/>
        <w:rPr>
          <w:rFonts w:ascii="Times New Roman" w:hAnsi="Times New Roman" w:eastAsia="宋体" w:cs="Times New Roman"/>
          <w:b/>
          <w:sz w:val="24"/>
        </w:rPr>
      </w:pPr>
      <w:r>
        <w:rPr>
          <w:rFonts w:ascii="Times New Roman" w:hAnsi="Times New Roman" w:eastAsia="宋体" w:cs="Times New Roman"/>
          <w:b/>
          <w:sz w:val="24"/>
          <w:lang w:bidi="ar"/>
        </w:rPr>
        <w:t>图2.4-2 生产工艺流程及产污环节</w:t>
      </w:r>
      <w:r>
        <w:rPr>
          <w:rFonts w:ascii="Times New Roman" w:hAnsi="Times New Roman" w:eastAsia="宋体" w:cs="Times New Roman"/>
          <w:b/>
          <w:sz w:val="24"/>
        </w:rPr>
        <w:t>图</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生产工艺简述：</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①沥青加热</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将储罐中的沥青输送至搅拌站，此过程中使用导热油炉（以天然气为燃料，柴油作为备用燃料</w:t>
      </w:r>
      <w:r>
        <w:rPr>
          <w:rFonts w:hint="eastAsia" w:ascii="Times New Roman" w:hAnsi="Times New Roman" w:eastAsia="宋体" w:cs="Times New Roman"/>
          <w:sz w:val="28"/>
          <w:szCs w:val="18"/>
          <w:lang w:val="en-US" w:eastAsia="zh-CN"/>
        </w:rPr>
        <w:t>使用，有天然气供应则不使用柴油</w:t>
      </w:r>
      <w:r>
        <w:rPr>
          <w:rFonts w:ascii="Times New Roman" w:hAnsi="Times New Roman" w:eastAsia="宋体" w:cs="Times New Roman"/>
          <w:sz w:val="28"/>
          <w:szCs w:val="18"/>
        </w:rPr>
        <w:t>）对</w:t>
      </w:r>
      <w:r>
        <w:rPr>
          <w:rFonts w:hint="eastAsia" w:ascii="Times New Roman" w:hAnsi="Times New Roman" w:eastAsia="宋体" w:cs="Times New Roman"/>
          <w:sz w:val="28"/>
          <w:szCs w:val="18"/>
        </w:rPr>
        <w:t>沥青罐、</w:t>
      </w:r>
      <w:r>
        <w:rPr>
          <w:rFonts w:ascii="Times New Roman" w:hAnsi="Times New Roman" w:eastAsia="宋体" w:cs="Times New Roman"/>
          <w:sz w:val="28"/>
          <w:szCs w:val="18"/>
        </w:rPr>
        <w:t>输送管道加热，会产生沥青烟气，沥青烟气在搅拌站内统一收集处置。</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②旧沥青混合料加热</w:t>
      </w:r>
    </w:p>
    <w:p>
      <w:pPr>
        <w:spacing w:line="500" w:lineRule="exact"/>
        <w:ind w:firstLine="560" w:firstLineChars="200"/>
        <w:rPr>
          <w:rFonts w:hint="eastAsia" w:ascii="Times New Roman" w:hAnsi="Times New Roman" w:eastAsia="宋体" w:cs="Times New Roman"/>
          <w:sz w:val="28"/>
          <w:szCs w:val="18"/>
        </w:rPr>
      </w:pPr>
      <w:r>
        <w:rPr>
          <w:rFonts w:hint="eastAsia" w:ascii="Times New Roman" w:hAnsi="Times New Roman" w:eastAsia="宋体" w:cs="Times New Roman"/>
          <w:sz w:val="28"/>
          <w:szCs w:val="18"/>
        </w:rPr>
        <w:t>原环评文件较粗糙、未明确沥青是否为旧沥青。但目前企业为满足</w:t>
      </w:r>
      <w:r>
        <w:rPr>
          <w:rFonts w:hint="eastAsia" w:ascii="Times New Roman" w:hAnsi="Times New Roman" w:eastAsia="宋体" w:cs="Times New Roman"/>
          <w:sz w:val="28"/>
          <w:szCs w:val="32"/>
        </w:rPr>
        <w:t>《关于推进全市建筑垃圾资源化利用工作的通知》（连城管发</w:t>
      </w:r>
      <w:r>
        <w:rPr>
          <w:rFonts w:ascii="Times New Roman" w:hAnsi="Times New Roman" w:eastAsia="宋体" w:cs="Times New Roman"/>
          <w:sz w:val="28"/>
          <w:szCs w:val="32"/>
        </w:rPr>
        <w:t>[2020]94</w:t>
      </w:r>
      <w:r>
        <w:rPr>
          <w:rFonts w:hint="eastAsia" w:ascii="Times New Roman" w:hAnsi="Times New Roman" w:eastAsia="宋体" w:cs="Times New Roman"/>
          <w:sz w:val="28"/>
          <w:szCs w:val="32"/>
        </w:rPr>
        <w:t>号）</w:t>
      </w:r>
      <w:r>
        <w:rPr>
          <w:rFonts w:hint="eastAsia" w:ascii="Times New Roman" w:hAnsi="Times New Roman" w:eastAsia="宋体" w:cs="Times New Roman"/>
          <w:sz w:val="28"/>
          <w:szCs w:val="18"/>
        </w:rPr>
        <w:t>要求，采用旧沥青等量替代新沥青，既符合政策要求，也未新增污染物。</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将旧沥青混合料经干燥机干燥加热（以天然气为燃料，柴油为备用燃料），燃烧器火焰自干燥机</w:t>
      </w:r>
      <w:r>
        <w:rPr>
          <w:rFonts w:hint="eastAsia" w:ascii="Times New Roman" w:hAnsi="Times New Roman" w:eastAsia="宋体" w:cs="Times New Roman"/>
          <w:sz w:val="28"/>
          <w:szCs w:val="18"/>
        </w:rPr>
        <w:t>入</w:t>
      </w:r>
      <w:r>
        <w:rPr>
          <w:rFonts w:ascii="Times New Roman" w:hAnsi="Times New Roman" w:eastAsia="宋体" w:cs="Times New Roman"/>
          <w:sz w:val="28"/>
          <w:szCs w:val="18"/>
        </w:rPr>
        <w:t>料口一端喷入，加热时烟气温度为</w:t>
      </w:r>
      <w:r>
        <w:rPr>
          <w:rFonts w:hint="eastAsia" w:ascii="Times New Roman" w:hAnsi="Times New Roman" w:eastAsia="宋体" w:cs="Times New Roman"/>
          <w:sz w:val="28"/>
          <w:szCs w:val="18"/>
        </w:rPr>
        <w:t>700-800</w:t>
      </w:r>
      <w:r>
        <w:rPr>
          <w:rFonts w:ascii="Times New Roman" w:hAnsi="Times New Roman" w:eastAsia="宋体" w:cs="Times New Roman"/>
          <w:sz w:val="28"/>
          <w:szCs w:val="18"/>
        </w:rPr>
        <w:t>℃，为了使骨料受热均匀，干燥滚筒不停的转动，滚筒内的提升叶片将入筒内的冷骨料不断的升起和抛下。此过程会产生干燥筒燃烧器燃烧废气、粉尘、沥青烟废气、噪声。</w:t>
      </w:r>
    </w:p>
    <w:p>
      <w:pPr>
        <w:spacing w:line="500" w:lineRule="exact"/>
        <w:ind w:firstLine="560" w:firstLineChars="200"/>
        <w:rPr>
          <w:rFonts w:hint="eastAsia" w:ascii="Times New Roman" w:hAnsi="Times New Roman" w:eastAsia="宋体" w:cs="Times New Roman"/>
          <w:color w:val="0000FF"/>
          <w:sz w:val="28"/>
          <w:szCs w:val="18"/>
          <w:lang w:val="en-US" w:eastAsia="zh-CN"/>
        </w:rPr>
      </w:pPr>
      <w:r>
        <w:rPr>
          <w:rFonts w:hint="eastAsia" w:ascii="Times New Roman" w:hAnsi="Times New Roman" w:eastAsia="宋体" w:cs="Times New Roman"/>
          <w:color w:val="0000FF"/>
          <w:sz w:val="28"/>
          <w:szCs w:val="18"/>
        </w:rPr>
        <w:t>因干燥机的燃烧温度为700-800</w:t>
      </w:r>
      <w:r>
        <w:rPr>
          <w:rFonts w:ascii="Times New Roman" w:hAnsi="Times New Roman" w:eastAsia="宋体" w:cs="Times New Roman"/>
          <w:color w:val="0000FF"/>
          <w:sz w:val="28"/>
          <w:szCs w:val="18"/>
        </w:rPr>
        <w:t>℃</w:t>
      </w:r>
      <w:r>
        <w:rPr>
          <w:rFonts w:hint="eastAsia" w:ascii="Times New Roman" w:hAnsi="Times New Roman" w:eastAsia="宋体" w:cs="Times New Roman"/>
          <w:color w:val="0000FF"/>
          <w:sz w:val="28"/>
          <w:szCs w:val="18"/>
        </w:rPr>
        <w:t>，则产生的沥青烟气在干燥机中进行燃烧净化处理，同时将产生的废气经管道收集后再次排入干燥机进料口，对沥青烟气进行</w:t>
      </w:r>
      <w:r>
        <w:rPr>
          <w:rFonts w:hint="eastAsia" w:ascii="Times New Roman" w:hAnsi="Times New Roman" w:eastAsia="宋体" w:cs="Times New Roman"/>
          <w:color w:val="0000FF"/>
          <w:sz w:val="28"/>
          <w:szCs w:val="18"/>
          <w:lang w:val="en-US" w:eastAsia="zh-CN"/>
        </w:rPr>
        <w:t>二次</w:t>
      </w:r>
      <w:r>
        <w:rPr>
          <w:rFonts w:hint="eastAsia" w:ascii="Times New Roman" w:hAnsi="Times New Roman" w:eastAsia="宋体" w:cs="Times New Roman"/>
          <w:color w:val="0000FF"/>
          <w:sz w:val="28"/>
          <w:szCs w:val="18"/>
        </w:rPr>
        <w:t>燃烧净化处理</w:t>
      </w:r>
      <w:r>
        <w:rPr>
          <w:rFonts w:hint="eastAsia" w:ascii="Times New Roman" w:hAnsi="Times New Roman" w:eastAsia="宋体" w:cs="Times New Roman"/>
          <w:color w:val="0000FF"/>
          <w:sz w:val="28"/>
          <w:szCs w:val="18"/>
          <w:lang w:eastAsia="zh-CN"/>
        </w:rPr>
        <w:t>，</w:t>
      </w:r>
      <w:r>
        <w:rPr>
          <w:rFonts w:hint="eastAsia" w:ascii="Times New Roman" w:hAnsi="Times New Roman" w:eastAsia="宋体" w:cs="Times New Roman"/>
          <w:color w:val="0000FF"/>
          <w:sz w:val="28"/>
          <w:szCs w:val="18"/>
        </w:rPr>
        <w:t>净化后的废气和燃烧废气及粉尘经</w:t>
      </w:r>
      <w:r>
        <w:rPr>
          <w:rFonts w:ascii="Times New Roman" w:hAnsi="Times New Roman" w:eastAsia="宋体" w:cs="Times New Roman"/>
          <w:color w:val="0000FF"/>
          <w:sz w:val="28"/>
          <w:szCs w:val="18"/>
        </w:rPr>
        <w:t>DA002</w:t>
      </w:r>
      <w:r>
        <w:rPr>
          <w:rFonts w:hint="eastAsia" w:ascii="Times New Roman" w:hAnsi="Times New Roman" w:eastAsia="宋体" w:cs="Times New Roman"/>
          <w:color w:val="0000FF"/>
          <w:sz w:val="28"/>
          <w:szCs w:val="18"/>
          <w:lang w:val="en-US" w:eastAsia="zh-CN"/>
        </w:rPr>
        <w:t>排气筒</w:t>
      </w:r>
      <w:r>
        <w:rPr>
          <w:rFonts w:hint="eastAsia" w:ascii="Times New Roman" w:hAnsi="Times New Roman" w:eastAsia="宋体" w:cs="Times New Roman"/>
          <w:color w:val="0000FF"/>
          <w:sz w:val="28"/>
          <w:szCs w:val="18"/>
        </w:rPr>
        <w:t>排出。</w:t>
      </w:r>
      <w:r>
        <w:rPr>
          <w:rFonts w:hint="eastAsia" w:ascii="Times New Roman" w:hAnsi="Times New Roman" w:eastAsia="宋体" w:cs="Times New Roman"/>
          <w:color w:val="0000FF"/>
          <w:sz w:val="28"/>
          <w:szCs w:val="18"/>
          <w:lang w:eastAsia="zh-CN"/>
        </w:rPr>
        <w:t>（</w:t>
      </w:r>
      <w:r>
        <w:rPr>
          <w:rFonts w:hint="eastAsia" w:ascii="Times New Roman" w:hAnsi="Times New Roman" w:eastAsia="宋体" w:cs="Times New Roman"/>
          <w:color w:val="0000FF"/>
          <w:sz w:val="28"/>
          <w:szCs w:val="18"/>
          <w:lang w:val="en-US" w:eastAsia="zh-CN"/>
        </w:rPr>
        <w:t>因</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生产过程中需要进行补风，故</w:t>
      </w:r>
      <w:r>
        <w:rPr>
          <w:rFonts w:hint="eastAsia" w:ascii="Times New Roman" w:hAnsi="Times New Roman" w:eastAsia="宋体" w:cs="Times New Roman"/>
          <w:color w:val="0000FF"/>
          <w:sz w:val="28"/>
          <w:szCs w:val="18"/>
          <w:lang w:val="en-US" w:eastAsia="zh-CN"/>
        </w:rPr>
        <w:t>二次</w:t>
      </w:r>
      <w:r>
        <w:rPr>
          <w:rFonts w:hint="eastAsia" w:ascii="Times New Roman" w:hAnsi="Times New Roman" w:eastAsia="宋体" w:cs="Times New Roman"/>
          <w:color w:val="0000FF"/>
          <w:sz w:val="28"/>
          <w:szCs w:val="18"/>
        </w:rPr>
        <w:t>燃烧净化处理</w:t>
      </w:r>
      <w:r>
        <w:rPr>
          <w:rFonts w:hint="eastAsia" w:ascii="Times New Roman" w:hAnsi="Times New Roman" w:eastAsia="宋体" w:cs="Times New Roman"/>
          <w:color w:val="0000FF"/>
          <w:sz w:val="28"/>
          <w:szCs w:val="18"/>
          <w:lang w:val="en-US" w:eastAsia="zh-CN"/>
        </w:rPr>
        <w:t>后的废气部分经管道直接接到布袋除尘器处理后</w:t>
      </w:r>
      <w:r>
        <w:rPr>
          <w:rFonts w:hint="eastAsia" w:ascii="Times New Roman" w:hAnsi="Times New Roman" w:eastAsia="宋体" w:cs="Times New Roman"/>
          <w:color w:val="0000FF"/>
          <w:sz w:val="28"/>
          <w:szCs w:val="18"/>
        </w:rPr>
        <w:t>经</w:t>
      </w:r>
      <w:r>
        <w:rPr>
          <w:rFonts w:ascii="Times New Roman" w:hAnsi="Times New Roman" w:eastAsia="宋体" w:cs="Times New Roman"/>
          <w:color w:val="0000FF"/>
          <w:sz w:val="28"/>
          <w:szCs w:val="18"/>
        </w:rPr>
        <w:t>DA002</w:t>
      </w:r>
      <w:r>
        <w:rPr>
          <w:rFonts w:hint="eastAsia" w:ascii="Times New Roman" w:hAnsi="Times New Roman" w:eastAsia="宋体" w:cs="Times New Roman"/>
          <w:color w:val="0000FF"/>
          <w:sz w:val="28"/>
          <w:szCs w:val="18"/>
          <w:lang w:val="en-US" w:eastAsia="zh-CN"/>
        </w:rPr>
        <w:t>排气筒</w:t>
      </w:r>
      <w:r>
        <w:rPr>
          <w:rFonts w:hint="eastAsia" w:ascii="Times New Roman" w:hAnsi="Times New Roman" w:eastAsia="宋体" w:cs="Times New Roman"/>
          <w:color w:val="0000FF"/>
          <w:sz w:val="28"/>
          <w:szCs w:val="18"/>
        </w:rPr>
        <w:t>排出</w:t>
      </w:r>
      <w:r>
        <w:rPr>
          <w:rFonts w:hint="eastAsia" w:ascii="Times New Roman" w:hAnsi="Times New Roman" w:eastAsia="宋体" w:cs="Times New Roman"/>
          <w:color w:val="0000FF"/>
          <w:sz w:val="28"/>
          <w:szCs w:val="18"/>
          <w:lang w:eastAsia="zh-CN"/>
        </w:rPr>
        <w:t>，</w:t>
      </w:r>
      <w:r>
        <w:rPr>
          <w:rFonts w:hint="eastAsia" w:ascii="Times New Roman" w:hAnsi="Times New Roman" w:eastAsia="宋体" w:cs="Times New Roman"/>
          <w:color w:val="0000FF"/>
          <w:sz w:val="28"/>
          <w:szCs w:val="18"/>
          <w:lang w:val="en-US" w:eastAsia="zh-CN"/>
        </w:rPr>
        <w:t>部分经</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后</w:t>
      </w:r>
      <w:r>
        <w:rPr>
          <w:rFonts w:hint="eastAsia" w:ascii="Times New Roman" w:hAnsi="Times New Roman" w:eastAsia="宋体" w:cs="Times New Roman"/>
          <w:color w:val="0000FF"/>
          <w:sz w:val="28"/>
          <w:szCs w:val="18"/>
          <w:lang w:val="en-US" w:eastAsia="zh-CN"/>
        </w:rPr>
        <w:t>接到布袋除尘器处理后</w:t>
      </w:r>
      <w:r>
        <w:rPr>
          <w:rFonts w:hint="eastAsia" w:ascii="Times New Roman" w:hAnsi="Times New Roman" w:eastAsia="宋体" w:cs="Times New Roman"/>
          <w:color w:val="0000FF"/>
          <w:sz w:val="28"/>
          <w:szCs w:val="18"/>
        </w:rPr>
        <w:t>经</w:t>
      </w:r>
      <w:r>
        <w:rPr>
          <w:rFonts w:ascii="Times New Roman" w:hAnsi="Times New Roman" w:eastAsia="宋体" w:cs="Times New Roman"/>
          <w:color w:val="0000FF"/>
          <w:sz w:val="28"/>
          <w:szCs w:val="18"/>
        </w:rPr>
        <w:t>DA002</w:t>
      </w:r>
      <w:r>
        <w:rPr>
          <w:rFonts w:hint="eastAsia" w:ascii="Times New Roman" w:hAnsi="Times New Roman" w:eastAsia="宋体" w:cs="Times New Roman"/>
          <w:color w:val="0000FF"/>
          <w:sz w:val="28"/>
          <w:szCs w:val="18"/>
          <w:lang w:val="en-US" w:eastAsia="zh-CN"/>
        </w:rPr>
        <w:t>排气筒</w:t>
      </w:r>
      <w:r>
        <w:rPr>
          <w:rFonts w:hint="eastAsia" w:ascii="Times New Roman" w:hAnsi="Times New Roman" w:eastAsia="宋体" w:cs="Times New Roman"/>
          <w:color w:val="0000FF"/>
          <w:sz w:val="28"/>
          <w:szCs w:val="18"/>
        </w:rPr>
        <w:t>排出</w:t>
      </w:r>
      <w:r>
        <w:rPr>
          <w:rFonts w:hint="eastAsia" w:ascii="Times New Roman" w:hAnsi="Times New Roman" w:eastAsia="宋体" w:cs="Times New Roman"/>
          <w:color w:val="0000FF"/>
          <w:sz w:val="28"/>
          <w:szCs w:val="18"/>
          <w:lang w:eastAsia="zh-CN"/>
        </w:rPr>
        <w:t>）。</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根据客户要求本项目旧沥青混合料使用量最大占比为</w:t>
      </w:r>
      <w:r>
        <w:rPr>
          <w:rFonts w:hint="eastAsia" w:ascii="Times New Roman" w:hAnsi="Times New Roman" w:eastAsia="宋体" w:cs="Times New Roman"/>
          <w:sz w:val="28"/>
          <w:szCs w:val="18"/>
        </w:rPr>
        <w:t>2</w:t>
      </w:r>
      <w:r>
        <w:rPr>
          <w:rFonts w:ascii="Times New Roman" w:hAnsi="Times New Roman" w:eastAsia="宋体" w:cs="Times New Roman"/>
          <w:sz w:val="28"/>
          <w:szCs w:val="18"/>
        </w:rPr>
        <w:t>0%，产品质量要求高的产品不使用旧沥青混合料。</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③石子、砂加热</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将石子和砂子等经干燥机干燥加热（以天然气为燃料，柴油为备用燃料</w:t>
      </w:r>
      <w:r>
        <w:rPr>
          <w:rFonts w:hint="eastAsia" w:ascii="Times New Roman" w:hAnsi="Times New Roman" w:eastAsia="宋体" w:cs="Times New Roman"/>
          <w:sz w:val="28"/>
          <w:szCs w:val="18"/>
          <w:lang w:val="en-US" w:eastAsia="zh-CN"/>
        </w:rPr>
        <w:t>，有天然气供应则不使用柴油</w:t>
      </w:r>
      <w:r>
        <w:rPr>
          <w:rFonts w:ascii="Times New Roman" w:hAnsi="Times New Roman" w:eastAsia="宋体" w:cs="Times New Roman"/>
          <w:sz w:val="28"/>
          <w:szCs w:val="18"/>
        </w:rPr>
        <w:t>），燃烧器火焰自干燥机出料口一端喷入，加热时烟气温度为</w:t>
      </w:r>
      <w:r>
        <w:rPr>
          <w:rFonts w:hint="eastAsia" w:ascii="Times New Roman" w:hAnsi="Times New Roman" w:eastAsia="宋体" w:cs="Times New Roman"/>
          <w:sz w:val="28"/>
          <w:szCs w:val="18"/>
        </w:rPr>
        <w:t>700-800</w:t>
      </w:r>
      <w:r>
        <w:rPr>
          <w:rFonts w:ascii="Times New Roman" w:hAnsi="Times New Roman" w:eastAsia="宋体" w:cs="Times New Roman"/>
          <w:sz w:val="28"/>
          <w:szCs w:val="18"/>
        </w:rPr>
        <w:t>℃，为了使骨料受热均匀，干燥滚筒不停的转动，滚筒内的提升叶片将入筒内的冷骨料不断的升起和抛下。此过程会产生干燥筒燃烧器燃烧废气、粉尘、噪声。</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④搅拌</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将干燥后的旧沥青混合料、石子和砂子及加热后的沥青进入搅拌机充分搅拌，搅拌均匀后，输送至沥青混凝土自卸翻斗车，由翻斗车送到用户指定的建筑工地。沥青混凝土配合比按施工要求配合比取定。此过程会产生沥青烟废气、噪声。</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主要污染工序：</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1）沥青加热过程中产生的沥青烟废气；旧沥青混合料配料、加热过程中产生的燃烧废气、沥青烟废气和粉尘；石子、砂子配料、加热过程中产生的燃烧废气、粉尘；搅拌工序产生沥青烟废气；加热导热炉的锅炉产生烟尘、二氧化硫、氮氧化物。</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（2）生产设备、进出车辆产生噪声。</w:t>
      </w:r>
    </w:p>
    <w:p>
      <w:pPr>
        <w:spacing w:line="500" w:lineRule="exact"/>
        <w:ind w:firstLine="560" w:firstLineChars="200"/>
        <w:rPr>
          <w:rFonts w:ascii="Times New Roman" w:hAnsi="Times New Roman" w:eastAsia="宋体" w:cs="Times New Roman"/>
          <w:sz w:val="28"/>
          <w:szCs w:val="18"/>
        </w:rPr>
      </w:pPr>
      <w:r>
        <w:rPr>
          <w:rFonts w:ascii="Times New Roman" w:hAnsi="Times New Roman" w:eastAsia="宋体" w:cs="Times New Roman"/>
          <w:sz w:val="28"/>
          <w:szCs w:val="18"/>
        </w:rPr>
        <w:t>（3）职工产生生活污水。</w:t>
      </w:r>
    </w:p>
    <w:p>
      <w:pPr>
        <w:spacing w:line="500" w:lineRule="exact"/>
        <w:ind w:firstLine="562" w:firstLineChars="200"/>
        <w:contextualSpacing/>
        <w:jc w:val="left"/>
        <w:rPr>
          <w:rFonts w:ascii="Times New Roman" w:hAnsi="Times New Roman" w:eastAsia="宋体" w:cs="Times New Roman"/>
          <w:b/>
          <w:bCs/>
          <w:sz w:val="28"/>
          <w:szCs w:val="32"/>
        </w:rPr>
      </w:pPr>
      <w:r>
        <w:rPr>
          <w:rFonts w:ascii="Times New Roman" w:hAnsi="Times New Roman" w:eastAsia="宋体" w:cs="Times New Roman"/>
          <w:b/>
          <w:bCs/>
          <w:sz w:val="28"/>
          <w:szCs w:val="32"/>
        </w:rPr>
        <w:t>四、变动后设备情况</w:t>
      </w:r>
    </w:p>
    <w:p>
      <w:pPr>
        <w:spacing w:line="500" w:lineRule="exact"/>
        <w:ind w:firstLine="560" w:firstLineChars="200"/>
        <w:contextualSpacing/>
        <w:jc w:val="left"/>
        <w:rPr>
          <w:rFonts w:ascii="Times New Roman" w:hAnsi="Times New Roman" w:eastAsia="宋体" w:cs="Times New Roman"/>
          <w:b/>
          <w:bCs/>
          <w:sz w:val="28"/>
          <w:szCs w:val="32"/>
        </w:rPr>
      </w:pPr>
      <w:r>
        <w:rPr>
          <w:rFonts w:ascii="Times New Roman" w:hAnsi="Times New Roman" w:eastAsia="宋体" w:cs="Times New Roman"/>
          <w:sz w:val="28"/>
          <w:szCs w:val="32"/>
        </w:rPr>
        <w:t>项目设备变动情况见表2.4</w:t>
      </w:r>
      <w:r>
        <w:rPr>
          <w:rFonts w:hint="eastAsia" w:ascii="Times New Roman" w:hAnsi="Times New Roman" w:eastAsia="宋体" w:cs="Times New Roman"/>
          <w:sz w:val="28"/>
          <w:szCs w:val="32"/>
        </w:rPr>
        <w:t>-3</w:t>
      </w:r>
      <w:r>
        <w:rPr>
          <w:rFonts w:ascii="Times New Roman" w:hAnsi="Times New Roman" w:eastAsia="宋体" w:cs="Times New Roman"/>
          <w:sz w:val="28"/>
          <w:szCs w:val="32"/>
        </w:rPr>
        <w:t>。</w:t>
      </w:r>
    </w:p>
    <w:p>
      <w:pPr>
        <w:spacing w:line="500" w:lineRule="exact"/>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表2.4-3现有工程主要生产设备情况一览表      单位：数量/台（套）</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3"/>
        <w:gridCol w:w="1407"/>
        <w:gridCol w:w="1106"/>
        <w:gridCol w:w="807"/>
        <w:gridCol w:w="1058"/>
        <w:gridCol w:w="711"/>
        <w:gridCol w:w="1186"/>
        <w:gridCol w:w="641"/>
        <w:gridCol w:w="178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 w:hRule="atLeast"/>
          <w:jc w:val="center"/>
        </w:trPr>
        <w:tc>
          <w:tcPr>
            <w:tcW w:w="288" w:type="pct"/>
            <w:vMerge w:val="restart"/>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序号</w:t>
            </w:r>
          </w:p>
        </w:tc>
        <w:tc>
          <w:tcPr>
            <w:tcW w:w="761" w:type="pct"/>
            <w:vMerge w:val="restart"/>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设备名称</w:t>
            </w:r>
          </w:p>
        </w:tc>
        <w:tc>
          <w:tcPr>
            <w:tcW w:w="1035" w:type="pct"/>
            <w:gridSpan w:val="2"/>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环评情况</w:t>
            </w:r>
          </w:p>
        </w:tc>
        <w:tc>
          <w:tcPr>
            <w:tcW w:w="958" w:type="pct"/>
            <w:gridSpan w:val="2"/>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验收情况</w:t>
            </w:r>
          </w:p>
        </w:tc>
        <w:tc>
          <w:tcPr>
            <w:tcW w:w="989" w:type="pct"/>
            <w:gridSpan w:val="2"/>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实际情况</w:t>
            </w:r>
          </w:p>
        </w:tc>
        <w:tc>
          <w:tcPr>
            <w:tcW w:w="966" w:type="pct"/>
            <w:vMerge w:val="restart"/>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变动情况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8" w:hRule="atLeast"/>
          <w:jc w:val="center"/>
        </w:trPr>
        <w:tc>
          <w:tcPr>
            <w:tcW w:w="288" w:type="pct"/>
            <w:vMerge w:val="continue"/>
            <w:tcBorders>
              <w:tl2br w:val="nil"/>
              <w:tr2bl w:val="nil"/>
            </w:tcBorders>
            <w:vAlign w:val="center"/>
          </w:tcPr>
          <w:p>
            <w:pPr>
              <w:jc w:val="center"/>
              <w:rPr>
                <w:rFonts w:ascii="Times New Roman" w:hAnsi="Times New Roman" w:eastAsia="宋体" w:cs="Times New Roman"/>
                <w:bCs/>
              </w:rPr>
            </w:pPr>
          </w:p>
        </w:tc>
        <w:tc>
          <w:tcPr>
            <w:tcW w:w="761" w:type="pct"/>
            <w:vMerge w:val="continue"/>
            <w:tcBorders>
              <w:tl2br w:val="nil"/>
              <w:tr2bl w:val="nil"/>
            </w:tcBorders>
            <w:vAlign w:val="center"/>
          </w:tcPr>
          <w:p>
            <w:pPr>
              <w:jc w:val="center"/>
              <w:rPr>
                <w:rFonts w:ascii="Times New Roman" w:hAnsi="Times New Roman" w:eastAsia="宋体" w:cs="Times New Roman"/>
                <w:bCs/>
              </w:rPr>
            </w:pPr>
          </w:p>
        </w:tc>
        <w:tc>
          <w:tcPr>
            <w:tcW w:w="598" w:type="pct"/>
            <w:tcBorders>
              <w:tl2br w:val="nil"/>
              <w:tr2bl w:val="nil"/>
            </w:tcBorders>
            <w:vAlign w:val="center"/>
          </w:tcPr>
          <w:p>
            <w:pPr>
              <w:spacing w:line="280" w:lineRule="exact"/>
              <w:contextualSpacing/>
              <w:jc w:val="center"/>
              <w:rPr>
                <w:rFonts w:ascii="Times New Roman" w:hAnsi="Times New Roman" w:eastAsia="宋体" w:cs="Times New Roman"/>
                <w:bCs/>
              </w:rPr>
            </w:pPr>
            <w:r>
              <w:rPr>
                <w:rFonts w:ascii="Times New Roman" w:hAnsi="Times New Roman" w:eastAsia="宋体" w:cs="Times New Roman"/>
                <w:bCs/>
                <w:szCs w:val="21"/>
              </w:rPr>
              <w:t>规格型号</w:t>
            </w:r>
          </w:p>
        </w:tc>
        <w:tc>
          <w:tcPr>
            <w:tcW w:w="436" w:type="pct"/>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数量</w:t>
            </w:r>
          </w:p>
        </w:tc>
        <w:tc>
          <w:tcPr>
            <w:tcW w:w="573" w:type="pct"/>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规格型号</w:t>
            </w:r>
          </w:p>
        </w:tc>
        <w:tc>
          <w:tcPr>
            <w:tcW w:w="384" w:type="pct"/>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数量</w:t>
            </w:r>
          </w:p>
        </w:tc>
        <w:tc>
          <w:tcPr>
            <w:tcW w:w="642" w:type="pct"/>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规格型号</w:t>
            </w:r>
          </w:p>
        </w:tc>
        <w:tc>
          <w:tcPr>
            <w:tcW w:w="347" w:type="pct"/>
            <w:tcBorders>
              <w:tl2br w:val="nil"/>
              <w:tr2bl w:val="nil"/>
            </w:tcBorders>
            <w:vAlign w:val="center"/>
          </w:tcPr>
          <w:p>
            <w:pPr>
              <w:spacing w:line="280" w:lineRule="exact"/>
              <w:contextualSpacing/>
              <w:jc w:val="center"/>
              <w:rPr>
                <w:rFonts w:ascii="Times New Roman" w:hAnsi="Times New Roman" w:eastAsia="宋体" w:cs="Times New Roman"/>
                <w:bCs/>
                <w:szCs w:val="21"/>
              </w:rPr>
            </w:pPr>
            <w:r>
              <w:rPr>
                <w:rFonts w:ascii="Times New Roman" w:hAnsi="Times New Roman" w:eastAsia="宋体" w:cs="Times New Roman"/>
                <w:bCs/>
                <w:szCs w:val="21"/>
              </w:rPr>
              <w:t>数量</w:t>
            </w:r>
          </w:p>
        </w:tc>
        <w:tc>
          <w:tcPr>
            <w:tcW w:w="966" w:type="pct"/>
            <w:vMerge w:val="continue"/>
            <w:tcBorders>
              <w:tl2br w:val="nil"/>
              <w:tr2bl w:val="nil"/>
            </w:tcBorders>
            <w:vAlign w:val="center"/>
          </w:tcPr>
          <w:p>
            <w:pPr>
              <w:spacing w:line="280" w:lineRule="exact"/>
              <w:contextualSpacing/>
              <w:jc w:val="center"/>
              <w:rPr>
                <w:rFonts w:ascii="Times New Roman" w:hAnsi="Times New Roman" w:eastAsia="宋体"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间歇式沥青拌和设备</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Csd3000</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Csd3000</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Csd3000</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综合配料机</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140t/h</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66" w:type="pct"/>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无变动，规格</w:t>
            </w:r>
            <w:r>
              <w:rPr>
                <w:rFonts w:ascii="Times New Roman" w:hAnsi="Times New Roman" w:eastAsia="宋体" w:cs="Times New Roman"/>
                <w:bCs/>
                <w:szCs w:val="21"/>
              </w:rPr>
              <w:t>型号</w:t>
            </w:r>
            <w:r>
              <w:rPr>
                <w:rFonts w:ascii="Times New Roman" w:hAnsi="Times New Roman" w:eastAsia="宋体" w:cs="Times New Roman"/>
                <w:szCs w:val="21"/>
              </w:rPr>
              <w:t>环评中未详细列出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干燥机</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800kw</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966" w:type="pct"/>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高温加热器</w:t>
            </w:r>
            <w:r>
              <w:rPr>
                <w:rFonts w:hint="eastAsia" w:ascii="Times New Roman" w:hAnsi="Times New Roman" w:eastAsia="宋体" w:cs="Times New Roman"/>
                <w:szCs w:val="21"/>
              </w:rPr>
              <w:t>（燃烧器）</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1000kw</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沥青储料罐</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50m</w:t>
            </w:r>
            <w:r>
              <w:rPr>
                <w:rFonts w:ascii="Times New Roman" w:hAnsi="Times New Roman" w:eastAsia="宋体" w:cs="Times New Roman"/>
                <w:szCs w:val="21"/>
                <w:vertAlign w:val="superscript"/>
              </w:rPr>
              <w:t>3</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966" w:type="pct"/>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推土机</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压路机</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运输车</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地磅</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150t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150t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150t</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液压伸缩摊铺机</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化验仪器及设备</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变压器</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800kv、80kv</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800kv、80kv</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800kv、80kv</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96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锅炉</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2t/h</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无变动，规格</w:t>
            </w:r>
            <w:r>
              <w:rPr>
                <w:rFonts w:ascii="Times New Roman" w:hAnsi="Times New Roman" w:eastAsia="宋体" w:cs="Times New Roman"/>
                <w:bCs/>
                <w:szCs w:val="21"/>
              </w:rPr>
              <w:t>型号</w:t>
            </w:r>
            <w:r>
              <w:rPr>
                <w:rFonts w:ascii="Times New Roman" w:hAnsi="Times New Roman" w:eastAsia="宋体" w:cs="Times New Roman"/>
                <w:szCs w:val="21"/>
              </w:rPr>
              <w:t>环评中未详细列出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大油罐（轻质柴油）</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50</w:t>
            </w:r>
            <w:r>
              <w:rPr>
                <w:rFonts w:ascii="Times New Roman" w:hAnsi="Times New Roman" w:eastAsia="宋体" w:cs="Times New Roman"/>
                <w:szCs w:val="21"/>
              </w:rPr>
              <w:t>m</w:t>
            </w:r>
            <w:r>
              <w:rPr>
                <w:rFonts w:ascii="Times New Roman" w:hAnsi="Times New Roman" w:eastAsia="宋体" w:cs="Times New Roman"/>
                <w:szCs w:val="21"/>
                <w:vertAlign w:val="superscript"/>
              </w:rPr>
              <w:t>3</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小油罐（导热油）</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1m</w:t>
            </w:r>
            <w:r>
              <w:rPr>
                <w:rFonts w:ascii="Times New Roman" w:hAnsi="Times New Roman" w:eastAsia="宋体" w:cs="Times New Roman"/>
                <w:szCs w:val="21"/>
                <w:vertAlign w:val="superscript"/>
              </w:rPr>
              <w:t>3</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16</w:t>
            </w:r>
          </w:p>
        </w:tc>
        <w:tc>
          <w:tcPr>
            <w:tcW w:w="761"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柴油罐（轻质柴油）</w:t>
            </w:r>
          </w:p>
        </w:tc>
        <w:tc>
          <w:tcPr>
            <w:tcW w:w="598"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436"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57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38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42" w:type="pc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10</w:t>
            </w:r>
            <w:r>
              <w:rPr>
                <w:rFonts w:ascii="Times New Roman" w:hAnsi="Times New Roman" w:eastAsia="宋体" w:cs="Times New Roman"/>
                <w:szCs w:val="21"/>
              </w:rPr>
              <w:t>m</w:t>
            </w:r>
            <w:r>
              <w:rPr>
                <w:rFonts w:ascii="Times New Roman" w:hAnsi="Times New Roman" w:eastAsia="宋体" w:cs="Times New Roman"/>
                <w:szCs w:val="21"/>
                <w:vertAlign w:val="superscript"/>
              </w:rPr>
              <w:t>3</w:t>
            </w:r>
          </w:p>
        </w:tc>
        <w:tc>
          <w:tcPr>
            <w:tcW w:w="347"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966" w:type="pct"/>
            <w:vMerge w:val="continue"/>
            <w:tcBorders>
              <w:tl2br w:val="nil"/>
              <w:tr2bl w:val="nil"/>
            </w:tcBorders>
            <w:vAlign w:val="center"/>
          </w:tcPr>
          <w:p>
            <w:pPr>
              <w:jc w:val="center"/>
              <w:rPr>
                <w:rFonts w:ascii="Times New Roman" w:hAnsi="Times New Roman" w:eastAsia="宋体" w:cs="Times New Roman"/>
                <w:szCs w:val="21"/>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contextualSpacing/>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备注：本项目燃烧器和锅炉均为两用，可使用天然气也可以使用柴油。</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由表2.4-3可以看出，项目主要生产设备不发生变动。</w:t>
      </w:r>
    </w:p>
    <w:p>
      <w:pPr>
        <w:widowControl/>
        <w:spacing w:line="500" w:lineRule="exact"/>
        <w:ind w:firstLine="562" w:firstLineChars="200"/>
        <w:jc w:val="left"/>
        <w:rPr>
          <w:rFonts w:ascii="Times New Roman" w:hAnsi="Times New Roman" w:eastAsia="宋体" w:cs="Times New Roman"/>
          <w:b/>
          <w:bCs/>
          <w:sz w:val="28"/>
          <w:szCs w:val="32"/>
        </w:rPr>
      </w:pPr>
      <w:r>
        <w:rPr>
          <w:rFonts w:ascii="Times New Roman" w:hAnsi="Times New Roman" w:eastAsia="宋体" w:cs="Times New Roman"/>
          <w:b/>
          <w:bCs/>
          <w:sz w:val="28"/>
          <w:szCs w:val="32"/>
        </w:rPr>
        <w:t>五、变动后物料消耗情况</w:t>
      </w:r>
    </w:p>
    <w:p>
      <w:pPr>
        <w:widowControl/>
        <w:spacing w:line="500" w:lineRule="exact"/>
        <w:ind w:firstLine="560" w:firstLineChars="200"/>
        <w:jc w:val="left"/>
        <w:rPr>
          <w:rFonts w:ascii="Times New Roman" w:hAnsi="Times New Roman" w:eastAsia="宋体" w:cs="Times New Roman"/>
          <w:sz w:val="28"/>
          <w:szCs w:val="32"/>
        </w:rPr>
      </w:pPr>
      <w:r>
        <w:rPr>
          <w:rFonts w:ascii="Times New Roman" w:hAnsi="Times New Roman" w:eastAsia="宋体" w:cs="Times New Roman"/>
          <w:sz w:val="28"/>
          <w:szCs w:val="32"/>
        </w:rPr>
        <w:t>主要原辅料及能源消耗情况见表 2.4-4。</w:t>
      </w:r>
    </w:p>
    <w:p>
      <w:pPr>
        <w:widowControl/>
        <w:spacing w:line="500" w:lineRule="exact"/>
        <w:jc w:val="center"/>
        <w:rPr>
          <w:rFonts w:ascii="Times New Roman" w:hAnsi="Times New Roman" w:eastAsia="宋体" w:cs="Times New Roman"/>
          <w:sz w:val="28"/>
          <w:szCs w:val="28"/>
        </w:rPr>
      </w:pPr>
      <w:r>
        <w:rPr>
          <w:rFonts w:ascii="Times New Roman" w:hAnsi="Times New Roman" w:eastAsia="宋体" w:cs="Times New Roman"/>
          <w:b/>
          <w:bCs/>
          <w:kern w:val="0"/>
          <w:sz w:val="28"/>
          <w:szCs w:val="28"/>
          <w:lang w:bidi="ar"/>
        </w:rPr>
        <w:t>表 2.4-4 变更前后主要原辅料及能源消耗情况对比表</w:t>
      </w:r>
    </w:p>
    <w:tbl>
      <w:tblPr>
        <w:tblStyle w:val="3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2"/>
        <w:gridCol w:w="1736"/>
        <w:gridCol w:w="2248"/>
        <w:gridCol w:w="2248"/>
        <w:gridCol w:w="22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762" w:type="dxa"/>
            <w:vMerge w:val="restart"/>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序号</w:t>
            </w:r>
          </w:p>
        </w:tc>
        <w:tc>
          <w:tcPr>
            <w:tcW w:w="1736" w:type="dxa"/>
            <w:vMerge w:val="restart"/>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名称</w:t>
            </w:r>
          </w:p>
        </w:tc>
        <w:tc>
          <w:tcPr>
            <w:tcW w:w="6744" w:type="dxa"/>
            <w:gridSpan w:val="3"/>
            <w:tcBorders>
              <w:tl2br w:val="nil"/>
              <w:tr2bl w:val="nil"/>
            </w:tcBorders>
            <w:vAlign w:val="center"/>
          </w:tcPr>
          <w:p>
            <w:pPr>
              <w:widowControl/>
              <w:jc w:val="center"/>
              <w:rPr>
                <w:rFonts w:ascii="Times New Roman" w:hAnsi="Times New Roman" w:eastAsia="宋体" w:cs="Times New Roman"/>
                <w:b/>
                <w:kern w:val="0"/>
                <w:szCs w:val="21"/>
              </w:rPr>
            </w:pPr>
            <w:r>
              <w:rPr>
                <w:rFonts w:ascii="Times New Roman" w:hAnsi="Times New Roman" w:eastAsia="宋体" w:cs="Times New Roman"/>
                <w:b/>
                <w:kern w:val="0"/>
                <w:szCs w:val="21"/>
              </w:rPr>
              <w:t>年耗量（t/a）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vMerge w:val="continue"/>
            <w:tcBorders>
              <w:tl2br w:val="nil"/>
              <w:tr2bl w:val="nil"/>
            </w:tcBorders>
            <w:vAlign w:val="center"/>
          </w:tcPr>
          <w:p>
            <w:pPr>
              <w:widowControl/>
              <w:jc w:val="center"/>
              <w:rPr>
                <w:rFonts w:ascii="Times New Roman" w:hAnsi="Times New Roman" w:eastAsia="宋体" w:cs="Times New Roman"/>
                <w:b/>
                <w:kern w:val="0"/>
                <w:szCs w:val="21"/>
              </w:rPr>
            </w:pPr>
          </w:p>
        </w:tc>
        <w:tc>
          <w:tcPr>
            <w:tcW w:w="1736" w:type="dxa"/>
            <w:vMerge w:val="continue"/>
            <w:tcBorders>
              <w:tl2br w:val="nil"/>
              <w:tr2bl w:val="nil"/>
            </w:tcBorders>
            <w:vAlign w:val="center"/>
          </w:tcPr>
          <w:p>
            <w:pPr>
              <w:widowControl/>
              <w:jc w:val="center"/>
              <w:rPr>
                <w:rFonts w:ascii="Times New Roman" w:hAnsi="Times New Roman" w:eastAsia="宋体" w:cs="Times New Roman"/>
                <w:b/>
                <w:kern w:val="0"/>
                <w:szCs w:val="21"/>
              </w:rPr>
            </w:pPr>
          </w:p>
        </w:tc>
        <w:tc>
          <w:tcPr>
            <w:tcW w:w="2248" w:type="dxa"/>
            <w:tcBorders>
              <w:tl2br w:val="nil"/>
              <w:tr2bl w:val="nil"/>
            </w:tcBorders>
            <w:vAlign w:val="center"/>
          </w:tcPr>
          <w:p>
            <w:pPr>
              <w:contextualSpacing/>
              <w:jc w:val="center"/>
              <w:rPr>
                <w:rFonts w:ascii="Times New Roman" w:hAnsi="Times New Roman" w:eastAsia="宋体" w:cs="Times New Roman"/>
                <w:b/>
                <w:kern w:val="0"/>
                <w:szCs w:val="21"/>
              </w:rPr>
            </w:pPr>
            <w:r>
              <w:rPr>
                <w:rFonts w:ascii="Times New Roman" w:hAnsi="Times New Roman" w:eastAsia="宋体" w:cs="Times New Roman"/>
                <w:bCs/>
                <w:szCs w:val="21"/>
              </w:rPr>
              <w:t>变动前</w:t>
            </w:r>
          </w:p>
        </w:tc>
        <w:tc>
          <w:tcPr>
            <w:tcW w:w="2248" w:type="dxa"/>
            <w:tcBorders>
              <w:tl2br w:val="nil"/>
              <w:tr2bl w:val="nil"/>
            </w:tcBorders>
            <w:vAlign w:val="center"/>
          </w:tcPr>
          <w:p>
            <w:pPr>
              <w:contextualSpacing/>
              <w:jc w:val="center"/>
              <w:rPr>
                <w:rFonts w:ascii="Times New Roman" w:hAnsi="Times New Roman" w:eastAsia="宋体" w:cs="Times New Roman"/>
                <w:b/>
                <w:kern w:val="0"/>
                <w:szCs w:val="21"/>
              </w:rPr>
            </w:pPr>
            <w:r>
              <w:rPr>
                <w:rFonts w:ascii="Times New Roman" w:hAnsi="Times New Roman" w:eastAsia="宋体" w:cs="Times New Roman"/>
                <w:bCs/>
                <w:szCs w:val="21"/>
              </w:rPr>
              <w:t>变动后</w:t>
            </w:r>
          </w:p>
        </w:tc>
        <w:tc>
          <w:tcPr>
            <w:tcW w:w="2248" w:type="dxa"/>
            <w:tcBorders>
              <w:tl2br w:val="nil"/>
              <w:tr2bl w:val="nil"/>
            </w:tcBorders>
            <w:vAlign w:val="center"/>
          </w:tcPr>
          <w:p>
            <w:pPr>
              <w:contextualSpacing/>
              <w:jc w:val="center"/>
              <w:rPr>
                <w:rFonts w:ascii="Times New Roman" w:hAnsi="Times New Roman" w:eastAsia="宋体" w:cs="Times New Roman"/>
                <w:b/>
                <w:kern w:val="0"/>
                <w:szCs w:val="21"/>
              </w:rPr>
            </w:pPr>
            <w:r>
              <w:rPr>
                <w:rFonts w:ascii="Times New Roman" w:hAnsi="Times New Roman" w:eastAsia="宋体" w:cs="Times New Roman"/>
                <w:bCs/>
                <w:szCs w:val="21"/>
              </w:rPr>
              <w:t>变化量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7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石头</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200000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6</w:t>
            </w:r>
            <w:r>
              <w:rPr>
                <w:rFonts w:ascii="Times New Roman" w:hAnsi="Times New Roman" w:eastAsia="宋体" w:cs="Times New Roman"/>
                <w:szCs w:val="21"/>
              </w:rPr>
              <w:t>0000-200000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0-</w:t>
            </w:r>
            <w:r>
              <w:rPr>
                <w:rFonts w:hint="eastAsia" w:ascii="Times New Roman" w:hAnsi="Times New Roman" w:eastAsia="宋体" w:cs="Times New Roman"/>
                <w:szCs w:val="21"/>
              </w:rPr>
              <w:t>4</w:t>
            </w:r>
            <w:r>
              <w:rPr>
                <w:rFonts w:ascii="Times New Roman" w:hAnsi="Times New Roman" w:eastAsia="宋体" w:cs="Times New Roman"/>
                <w:szCs w:val="21"/>
              </w:rPr>
              <w:t>0000</w:t>
            </w:r>
            <w:r>
              <w:rPr>
                <w:rFonts w:hint="eastAsia" w:ascii="Times New Roman" w:hAnsi="Times New Roman" w:eastAsia="宋体" w:cs="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7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沥青</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8000</w:t>
            </w:r>
          </w:p>
        </w:tc>
        <w:tc>
          <w:tcPr>
            <w:tcW w:w="224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6400</w:t>
            </w:r>
            <w:r>
              <w:rPr>
                <w:rFonts w:ascii="Times New Roman" w:hAnsi="Times New Roman" w:eastAsia="宋体" w:cs="Times New Roman"/>
                <w:szCs w:val="21"/>
              </w:rPr>
              <w:t>-8000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0-</w:t>
            </w:r>
            <w:r>
              <w:rPr>
                <w:rFonts w:hint="eastAsia" w:ascii="Times New Roman" w:hAnsi="Times New Roman" w:eastAsia="宋体" w:cs="Times New Roman"/>
                <w:szCs w:val="21"/>
              </w:rPr>
              <w:t>16</w:t>
            </w:r>
            <w:r>
              <w:rPr>
                <w:rFonts w:ascii="Times New Roman" w:hAnsi="Times New Roman" w:eastAsia="宋体" w:cs="Times New Roman"/>
                <w:szCs w:val="21"/>
              </w:rPr>
              <w:t>00</w:t>
            </w:r>
            <w:r>
              <w:rPr>
                <w:rFonts w:hint="eastAsia" w:ascii="Times New Roman" w:hAnsi="Times New Roman" w:eastAsia="宋体" w:cs="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7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砂子</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40000</w:t>
            </w:r>
          </w:p>
        </w:tc>
        <w:tc>
          <w:tcPr>
            <w:tcW w:w="224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32</w:t>
            </w:r>
            <w:r>
              <w:rPr>
                <w:rFonts w:ascii="Times New Roman" w:hAnsi="Times New Roman" w:eastAsia="宋体" w:cs="Times New Roman"/>
                <w:szCs w:val="21"/>
              </w:rPr>
              <w:t>000-40000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0-</w:t>
            </w:r>
            <w:r>
              <w:rPr>
                <w:rFonts w:hint="eastAsia" w:ascii="Times New Roman" w:hAnsi="Times New Roman" w:eastAsia="宋体" w:cs="Times New Roman"/>
                <w:szCs w:val="21"/>
              </w:rPr>
              <w:t>8</w:t>
            </w:r>
            <w:r>
              <w:rPr>
                <w:rFonts w:ascii="Times New Roman" w:hAnsi="Times New Roman" w:eastAsia="宋体" w:cs="Times New Roman"/>
                <w:szCs w:val="21"/>
              </w:rPr>
              <w:t>000</w:t>
            </w:r>
            <w:r>
              <w:rPr>
                <w:rFonts w:hint="eastAsia" w:ascii="Times New Roman" w:hAnsi="Times New Roman" w:eastAsia="宋体" w:cs="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73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轻质</w:t>
            </w:r>
            <w:r>
              <w:rPr>
                <w:rFonts w:ascii="Times New Roman" w:hAnsi="Times New Roman" w:eastAsia="宋体" w:cs="Times New Roman"/>
                <w:szCs w:val="21"/>
              </w:rPr>
              <w:t>柴油</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0-300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0-300</w:t>
            </w:r>
            <w:r>
              <w:rPr>
                <w:rFonts w:hint="eastAsia" w:ascii="Times New Roman" w:hAnsi="Times New Roman" w:eastAsia="宋体" w:cs="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17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导热油</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100-200</w:t>
            </w:r>
          </w:p>
        </w:tc>
        <w:tc>
          <w:tcPr>
            <w:tcW w:w="224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224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-（95-195）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17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旧沥青混合料</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496</w:t>
            </w:r>
            <w:r>
              <w:rPr>
                <w:rFonts w:ascii="Times New Roman" w:hAnsi="Times New Roman" w:eastAsia="宋体" w:cs="Times New Roman"/>
                <w:szCs w:val="21"/>
              </w:rPr>
              <w:t>00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0-</w:t>
            </w:r>
            <w:r>
              <w:rPr>
                <w:rFonts w:hint="eastAsia" w:ascii="Times New Roman" w:hAnsi="Times New Roman" w:eastAsia="宋体" w:cs="Times New Roman"/>
                <w:szCs w:val="21"/>
              </w:rPr>
              <w:t>496</w:t>
            </w:r>
            <w:r>
              <w:rPr>
                <w:rFonts w:ascii="Times New Roman" w:hAnsi="Times New Roman" w:eastAsia="宋体" w:cs="Times New Roman"/>
                <w:szCs w:val="21"/>
              </w:rPr>
              <w:t>00</w:t>
            </w:r>
            <w:r>
              <w:rPr>
                <w:rFonts w:hint="eastAsia" w:ascii="Times New Roman" w:hAnsi="Times New Roman" w:eastAsia="宋体" w:cs="Times New Roman"/>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2" w:type="dxa"/>
            <w:tcBorders>
              <w:tl2br w:val="nil"/>
              <w:tr2bl w:val="nil"/>
            </w:tcBorders>
            <w:vAlign w:val="center"/>
          </w:tcPr>
          <w:p>
            <w:pPr>
              <w:jc w:val="center"/>
              <w:rPr>
                <w:rFonts w:ascii="Times New Roman" w:hAnsi="Times New Roman" w:eastAsia="宋体" w:cs="Times New Roman"/>
                <w:szCs w:val="21"/>
              </w:rPr>
            </w:pPr>
            <w:bookmarkStart w:id="12" w:name="_Toc150182764"/>
            <w:r>
              <w:rPr>
                <w:rFonts w:ascii="Times New Roman" w:hAnsi="Times New Roman" w:eastAsia="宋体" w:cs="Times New Roman"/>
                <w:szCs w:val="21"/>
              </w:rPr>
              <w:t>7</w:t>
            </w:r>
          </w:p>
        </w:tc>
        <w:tc>
          <w:tcPr>
            <w:tcW w:w="17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天然气</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0-33万立方米</w:t>
            </w:r>
          </w:p>
        </w:tc>
        <w:tc>
          <w:tcPr>
            <w:tcW w:w="224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w:t>
            </w:r>
            <w:r>
              <w:rPr>
                <w:rFonts w:ascii="Times New Roman" w:hAnsi="Times New Roman" w:eastAsia="宋体" w:cs="Times New Roman"/>
                <w:szCs w:val="21"/>
              </w:rPr>
              <w:t>0-33</w:t>
            </w:r>
            <w:r>
              <w:rPr>
                <w:rFonts w:hint="eastAsia" w:ascii="Times New Roman" w:hAnsi="Times New Roman" w:eastAsia="宋体" w:cs="Times New Roman"/>
                <w:szCs w:val="21"/>
              </w:rPr>
              <w:t>）</w:t>
            </w:r>
            <w:r>
              <w:rPr>
                <w:rFonts w:ascii="Times New Roman" w:hAnsi="Times New Roman" w:eastAsia="宋体" w:cs="Times New Roman"/>
                <w:szCs w:val="21"/>
              </w:rPr>
              <w:t>万立方米</w:t>
            </w:r>
          </w:p>
        </w:tc>
      </w:tr>
    </w:tbl>
    <w:p>
      <w:pPr>
        <w:spacing w:line="300" w:lineRule="exact"/>
        <w:ind w:firstLine="420" w:firstLineChars="200"/>
        <w:rPr>
          <w:rFonts w:ascii="Times New Roman" w:hAnsi="Times New Roman" w:eastAsia="宋体" w:cs="Times New Roman"/>
        </w:rPr>
      </w:pPr>
      <w:r>
        <w:rPr>
          <w:rFonts w:ascii="Times New Roman" w:hAnsi="Times New Roman" w:eastAsia="宋体" w:cs="Times New Roman"/>
        </w:rPr>
        <w:t>备注：</w:t>
      </w:r>
      <w:r>
        <w:rPr>
          <w:rFonts w:hint="eastAsia" w:ascii="Times New Roman" w:hAnsi="Times New Roman" w:eastAsia="宋体" w:cs="Times New Roman"/>
        </w:rPr>
        <w:t>①</w:t>
      </w:r>
      <w:r>
        <w:rPr>
          <w:rFonts w:ascii="Times New Roman" w:hAnsi="Times New Roman" w:eastAsia="宋体" w:cs="Times New Roman"/>
        </w:rPr>
        <w:t>原料区间变化是因为根据客户要求</w:t>
      </w:r>
      <w:r>
        <w:rPr>
          <w:rFonts w:hint="eastAsia" w:ascii="Times New Roman" w:hAnsi="Times New Roman" w:eastAsia="宋体" w:cs="Times New Roman"/>
        </w:rPr>
        <w:t>进行生产，少部分质量要求较小的客户将使用</w:t>
      </w:r>
      <w:r>
        <w:rPr>
          <w:rFonts w:ascii="Times New Roman" w:hAnsi="Times New Roman" w:eastAsia="宋体" w:cs="Times New Roman"/>
        </w:rPr>
        <w:t>旧沥青混合料</w:t>
      </w:r>
      <w:r>
        <w:rPr>
          <w:rFonts w:hint="eastAsia" w:ascii="Times New Roman" w:hAnsi="Times New Roman" w:eastAsia="宋体" w:cs="Times New Roman"/>
        </w:rPr>
        <w:t>进行生产，</w:t>
      </w:r>
      <w:r>
        <w:rPr>
          <w:rFonts w:ascii="Times New Roman" w:hAnsi="Times New Roman" w:eastAsia="宋体" w:cs="Times New Roman"/>
        </w:rPr>
        <w:t>使用量最大占比</w:t>
      </w:r>
      <w:r>
        <w:rPr>
          <w:rFonts w:hint="eastAsia" w:ascii="Times New Roman" w:hAnsi="Times New Roman" w:eastAsia="宋体" w:cs="Times New Roman"/>
        </w:rPr>
        <w:t>约</w:t>
      </w:r>
      <w:r>
        <w:rPr>
          <w:rFonts w:ascii="Times New Roman" w:hAnsi="Times New Roman" w:eastAsia="宋体" w:cs="Times New Roman"/>
        </w:rPr>
        <w:t>为</w:t>
      </w:r>
      <w:r>
        <w:rPr>
          <w:rFonts w:hint="eastAsia" w:ascii="Times New Roman" w:hAnsi="Times New Roman" w:eastAsia="宋体" w:cs="Times New Roman"/>
        </w:rPr>
        <w:t>2</w:t>
      </w:r>
      <w:r>
        <w:rPr>
          <w:rFonts w:ascii="Times New Roman" w:hAnsi="Times New Roman" w:eastAsia="宋体" w:cs="Times New Roman"/>
        </w:rPr>
        <w:t>0%，产品质量要求高的产品不使用旧沥青混合料。</w:t>
      </w:r>
    </w:p>
    <w:p>
      <w:pPr>
        <w:spacing w:line="300" w:lineRule="exact"/>
        <w:ind w:firstLine="420" w:firstLineChars="200"/>
        <w:rPr>
          <w:rFonts w:ascii="Times New Roman" w:hAnsi="Times New Roman" w:eastAsia="宋体" w:cs="Times New Roman"/>
        </w:rPr>
      </w:pPr>
      <w:r>
        <w:rPr>
          <w:rFonts w:hint="eastAsia" w:ascii="Times New Roman" w:hAnsi="Times New Roman" w:eastAsia="宋体" w:cs="Times New Roman"/>
        </w:rPr>
        <w:t>②本项目变动后导热油循环使用，定期更换，故使用量减少。</w:t>
      </w:r>
    </w:p>
    <w:p>
      <w:pPr>
        <w:sectPr>
          <w:pgSz w:w="11906" w:h="16838"/>
          <w:pgMar w:top="1800" w:right="1440" w:bottom="1800" w:left="1440" w:header="851" w:footer="992" w:gutter="0"/>
          <w:cols w:space="425" w:num="1"/>
          <w:docGrid w:type="lines" w:linePitch="312" w:charSpace="0"/>
        </w:sectPr>
      </w:pPr>
    </w:p>
    <w:bookmarkEnd w:id="12"/>
    <w:p>
      <w:pPr>
        <w:pStyle w:val="3"/>
        <w:numPr>
          <w:ilvl w:val="1"/>
          <w:numId w:val="0"/>
        </w:numPr>
        <w:spacing w:before="0" w:beforeLines="0" w:after="0" w:afterLines="0"/>
        <w:rPr>
          <w:rFonts w:eastAsia="宋体" w:cs="Times New Roman"/>
        </w:rPr>
      </w:pPr>
      <w:bookmarkStart w:id="13" w:name="_Toc150182765"/>
      <w:r>
        <w:rPr>
          <w:rFonts w:eastAsia="宋体" w:cs="Times New Roman"/>
        </w:rPr>
        <w:t>2.5环境保护措施</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项目现有工程环境保护措施变动情况见表2.5-1。</w:t>
      </w:r>
    </w:p>
    <w:p>
      <w:pPr>
        <w:spacing w:line="500" w:lineRule="exact"/>
        <w:contextualSpacing/>
        <w:jc w:val="center"/>
        <w:rPr>
          <w:rFonts w:ascii="Times New Roman" w:hAnsi="Times New Roman" w:eastAsia="宋体" w:cs="Times New Roman"/>
          <w:b/>
          <w:bCs/>
          <w:sz w:val="28"/>
          <w:szCs w:val="32"/>
        </w:rPr>
      </w:pPr>
      <w:r>
        <w:rPr>
          <w:rFonts w:ascii="Times New Roman" w:hAnsi="Times New Roman" w:eastAsia="宋体" w:cs="Times New Roman"/>
          <w:b/>
          <w:bCs/>
          <w:sz w:val="28"/>
          <w:szCs w:val="32"/>
        </w:rPr>
        <w:t>表2.5-1现有工程环境保护措施变动情况一览表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130"/>
        <w:gridCol w:w="939"/>
        <w:gridCol w:w="985"/>
        <w:gridCol w:w="1426"/>
        <w:gridCol w:w="1125"/>
        <w:gridCol w:w="1367"/>
        <w:gridCol w:w="1410"/>
        <w:gridCol w:w="1351"/>
        <w:gridCol w:w="1394"/>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污染物类别</w:t>
            </w:r>
          </w:p>
        </w:tc>
        <w:tc>
          <w:tcPr>
            <w:tcW w:w="420" w:type="pct"/>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产污环节</w:t>
            </w:r>
          </w:p>
        </w:tc>
        <w:tc>
          <w:tcPr>
            <w:tcW w:w="714" w:type="pct"/>
            <w:gridSpan w:val="2"/>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污染物名称</w:t>
            </w:r>
          </w:p>
        </w:tc>
        <w:tc>
          <w:tcPr>
            <w:tcW w:w="1456" w:type="pct"/>
            <w:gridSpan w:val="3"/>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环评/验收的治理措施</w:t>
            </w:r>
          </w:p>
        </w:tc>
        <w:tc>
          <w:tcPr>
            <w:tcW w:w="1544" w:type="pct"/>
            <w:gridSpan w:val="3"/>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环境保护措施建设现状</w:t>
            </w:r>
          </w:p>
        </w:tc>
        <w:tc>
          <w:tcPr>
            <w:tcW w:w="565" w:type="pct"/>
            <w:vMerge w:val="restar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continue"/>
            <w:vAlign w:val="center"/>
          </w:tcPr>
          <w:p>
            <w:pPr>
              <w:contextualSpacing/>
              <w:jc w:val="center"/>
              <w:rPr>
                <w:rFonts w:ascii="Times New Roman" w:hAnsi="Times New Roman" w:eastAsia="宋体" w:cs="Times New Roman"/>
                <w:b/>
                <w:bCs/>
                <w:szCs w:val="21"/>
              </w:rPr>
            </w:pPr>
          </w:p>
        </w:tc>
        <w:tc>
          <w:tcPr>
            <w:tcW w:w="420" w:type="pct"/>
            <w:vMerge w:val="continue"/>
            <w:vAlign w:val="center"/>
          </w:tcPr>
          <w:p>
            <w:pPr>
              <w:contextualSpacing/>
              <w:jc w:val="center"/>
              <w:rPr>
                <w:rFonts w:ascii="Times New Roman" w:hAnsi="Times New Roman" w:eastAsia="宋体" w:cs="Times New Roman"/>
                <w:b/>
                <w:bCs/>
                <w:szCs w:val="21"/>
              </w:rPr>
            </w:pPr>
          </w:p>
        </w:tc>
        <w:tc>
          <w:tcPr>
            <w:tcW w:w="714" w:type="pct"/>
            <w:gridSpan w:val="2"/>
            <w:vMerge w:val="continue"/>
            <w:vAlign w:val="center"/>
          </w:tcPr>
          <w:p>
            <w:pPr>
              <w:contextualSpacing/>
              <w:jc w:val="center"/>
              <w:rPr>
                <w:rFonts w:ascii="Times New Roman" w:hAnsi="Times New Roman" w:eastAsia="宋体" w:cs="Times New Roman"/>
                <w:b/>
                <w:bCs/>
                <w:szCs w:val="21"/>
              </w:rPr>
            </w:pPr>
          </w:p>
        </w:tc>
        <w:tc>
          <w:tcPr>
            <w:tcW w:w="530"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防治措施</w:t>
            </w:r>
          </w:p>
        </w:tc>
        <w:tc>
          <w:tcPr>
            <w:tcW w:w="418"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排放口编号</w:t>
            </w:r>
          </w:p>
        </w:tc>
        <w:tc>
          <w:tcPr>
            <w:tcW w:w="508"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排气筒高度/m</w:t>
            </w:r>
          </w:p>
        </w:tc>
        <w:tc>
          <w:tcPr>
            <w:tcW w:w="524"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防治措施</w:t>
            </w:r>
          </w:p>
        </w:tc>
        <w:tc>
          <w:tcPr>
            <w:tcW w:w="502"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排放口编号</w:t>
            </w:r>
          </w:p>
        </w:tc>
        <w:tc>
          <w:tcPr>
            <w:tcW w:w="518" w:type="pct"/>
            <w:vAlign w:val="center"/>
          </w:tcPr>
          <w:p>
            <w:pPr>
              <w:contextualSpacing/>
              <w:jc w:val="center"/>
              <w:rPr>
                <w:rFonts w:ascii="Times New Roman" w:hAnsi="Times New Roman" w:eastAsia="宋体" w:cs="Times New Roman"/>
                <w:b/>
                <w:bCs/>
                <w:szCs w:val="21"/>
              </w:rPr>
            </w:pPr>
            <w:r>
              <w:rPr>
                <w:rFonts w:ascii="Times New Roman" w:hAnsi="Times New Roman" w:eastAsia="宋体" w:cs="Times New Roman"/>
                <w:b/>
                <w:bCs/>
                <w:szCs w:val="21"/>
              </w:rPr>
              <w:t>排气筒高度/m</w:t>
            </w:r>
          </w:p>
        </w:tc>
        <w:tc>
          <w:tcPr>
            <w:tcW w:w="565" w:type="pct"/>
            <w:vMerge w:val="continue"/>
            <w:vAlign w:val="center"/>
          </w:tcPr>
          <w:p>
            <w:pPr>
              <w:contextualSpacing/>
              <w:jc w:val="center"/>
              <w:rPr>
                <w:rFonts w:ascii="Times New Roman" w:hAnsi="Times New Roman" w:eastAsia="宋体"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restart"/>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szCs w:val="21"/>
              </w:rPr>
              <w:t>废气</w:t>
            </w:r>
          </w:p>
        </w:tc>
        <w:tc>
          <w:tcPr>
            <w:tcW w:w="420" w:type="pct"/>
            <w:tcBorders>
              <w:bottom w:val="single" w:color="auto" w:sz="4" w:space="0"/>
            </w:tcBorders>
            <w:vAlign w:val="center"/>
          </w:tcPr>
          <w:p>
            <w:pPr>
              <w:jc w:val="center"/>
              <w:rPr>
                <w:rFonts w:ascii="Times New Roman" w:hAnsi="Times New Roman" w:cs="Times New Roman"/>
                <w:bCs/>
                <w:szCs w:val="21"/>
              </w:rPr>
            </w:pPr>
            <w:r>
              <w:rPr>
                <w:rFonts w:ascii="Times New Roman" w:hAnsi="Times New Roman" w:eastAsia="宋体" w:cs="Times New Roman"/>
                <w:szCs w:val="21"/>
              </w:rPr>
              <w:t>锅炉</w:t>
            </w:r>
            <w:r>
              <w:rPr>
                <w:rStyle w:val="38"/>
                <w:rFonts w:hint="eastAsia"/>
              </w:rPr>
              <w:t>（导热油炉加热锅炉）</w:t>
            </w:r>
          </w:p>
        </w:tc>
        <w:tc>
          <w:tcPr>
            <w:tcW w:w="714" w:type="pct"/>
            <w:gridSpan w:val="2"/>
            <w:tcBorders>
              <w:bottom w:val="single" w:color="auto" w:sz="4" w:space="0"/>
            </w:tcBorders>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颗粒物、二氧化流、氮氧化物</w:t>
            </w:r>
          </w:p>
        </w:tc>
        <w:tc>
          <w:tcPr>
            <w:tcW w:w="530" w:type="pct"/>
            <w:tcBorders>
              <w:bottom w:val="single" w:color="auto" w:sz="4" w:space="0"/>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418" w:type="pct"/>
            <w:vAlign w:val="center"/>
          </w:tcPr>
          <w:p>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DA001</w:t>
            </w:r>
          </w:p>
        </w:tc>
        <w:tc>
          <w:tcPr>
            <w:tcW w:w="508"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bCs/>
                <w:szCs w:val="21"/>
              </w:rPr>
              <w:t>8</w:t>
            </w:r>
          </w:p>
        </w:tc>
        <w:tc>
          <w:tcPr>
            <w:tcW w:w="524" w:type="pct"/>
            <w:tcBorders>
              <w:bottom w:val="single" w:color="auto" w:sz="4" w:space="0"/>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w:t>
            </w:r>
          </w:p>
        </w:tc>
        <w:tc>
          <w:tcPr>
            <w:tcW w:w="502" w:type="pct"/>
            <w:tcBorders>
              <w:bottom w:val="single" w:color="auto" w:sz="4" w:space="0"/>
            </w:tcBorders>
            <w:vAlign w:val="center"/>
          </w:tcPr>
          <w:p>
            <w:pPr>
              <w:contextualSpacing/>
              <w:jc w:val="center"/>
              <w:rPr>
                <w:rFonts w:ascii="Times New Roman" w:hAnsi="Times New Roman" w:eastAsia="宋体" w:cs="Times New Roman"/>
                <w:szCs w:val="21"/>
              </w:rPr>
            </w:pPr>
            <w:r>
              <w:rPr>
                <w:rFonts w:ascii="Times New Roman" w:hAnsi="Times New Roman" w:eastAsia="宋体" w:cs="Times New Roman"/>
                <w:bCs/>
                <w:szCs w:val="21"/>
              </w:rPr>
              <w:t>DA001</w:t>
            </w:r>
          </w:p>
        </w:tc>
        <w:tc>
          <w:tcPr>
            <w:tcW w:w="518" w:type="pct"/>
            <w:tcBorders>
              <w:bottom w:val="single" w:color="auto" w:sz="4" w:space="0"/>
            </w:tcBorders>
            <w:vAlign w:val="center"/>
          </w:tcPr>
          <w:p>
            <w:pPr>
              <w:widowControl/>
              <w:contextualSpacing/>
              <w:jc w:val="center"/>
              <w:rPr>
                <w:rFonts w:ascii="Times New Roman" w:hAnsi="Times New Roman" w:eastAsia="宋体" w:cs="Times New Roman"/>
                <w:bCs/>
                <w:szCs w:val="21"/>
              </w:rPr>
            </w:pPr>
            <w:r>
              <w:rPr>
                <w:rFonts w:ascii="Times New Roman" w:hAnsi="Times New Roman" w:eastAsia="宋体" w:cs="Times New Roman"/>
                <w:bCs/>
                <w:szCs w:val="21"/>
              </w:rPr>
              <w:t>8</w:t>
            </w:r>
          </w:p>
        </w:tc>
        <w:tc>
          <w:tcPr>
            <w:tcW w:w="565" w:type="pct"/>
            <w:tcBorders>
              <w:bottom w:val="single" w:color="auto" w:sz="4" w:space="0"/>
            </w:tcBorders>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continue"/>
            <w:vAlign w:val="center"/>
          </w:tcPr>
          <w:p>
            <w:pPr>
              <w:contextualSpacing/>
              <w:jc w:val="center"/>
              <w:rPr>
                <w:rFonts w:ascii="Times New Roman" w:hAnsi="Times New Roman" w:eastAsia="宋体" w:cs="Times New Roman"/>
                <w:szCs w:val="21"/>
              </w:rPr>
            </w:pPr>
          </w:p>
        </w:tc>
        <w:tc>
          <w:tcPr>
            <w:tcW w:w="420" w:type="pc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配料、</w:t>
            </w:r>
            <w:r>
              <w:rPr>
                <w:rFonts w:hint="eastAsia" w:ascii="Times New Roman" w:hAnsi="Times New Roman" w:eastAsia="宋体" w:cs="Times New Roman"/>
                <w:szCs w:val="21"/>
              </w:rPr>
              <w:t>石子、砂及旧沥青混合料</w:t>
            </w:r>
            <w:r>
              <w:rPr>
                <w:rFonts w:ascii="Times New Roman" w:hAnsi="Times New Roman" w:eastAsia="宋体" w:cs="Times New Roman"/>
                <w:szCs w:val="21"/>
              </w:rPr>
              <w:t>加热</w:t>
            </w:r>
          </w:p>
        </w:tc>
        <w:tc>
          <w:tcPr>
            <w:tcW w:w="714"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颗粒物、非甲烷总烃、沥青烟、苯并芘</w:t>
            </w:r>
          </w:p>
        </w:tc>
        <w:tc>
          <w:tcPr>
            <w:tcW w:w="530" w:type="pct"/>
            <w:shd w:val="clear" w:color="auto" w:fill="auto"/>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布袋除尘器</w:t>
            </w:r>
          </w:p>
        </w:tc>
        <w:tc>
          <w:tcPr>
            <w:tcW w:w="418" w:type="pct"/>
            <w:shd w:val="clear" w:color="auto" w:fill="auto"/>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bCs/>
                <w:szCs w:val="21"/>
              </w:rPr>
              <w:t>DA002</w:t>
            </w:r>
          </w:p>
        </w:tc>
        <w:tc>
          <w:tcPr>
            <w:tcW w:w="508" w:type="pct"/>
            <w:shd w:val="clear" w:color="auto" w:fill="auto"/>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30</w:t>
            </w:r>
          </w:p>
        </w:tc>
        <w:tc>
          <w:tcPr>
            <w:tcW w:w="524" w:type="pct"/>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布袋除尘器</w:t>
            </w:r>
          </w:p>
        </w:tc>
        <w:tc>
          <w:tcPr>
            <w:tcW w:w="502" w:type="pct"/>
            <w:vAlign w:val="center"/>
          </w:tcPr>
          <w:p>
            <w:pPr>
              <w:widowControl/>
              <w:contextualSpacing/>
              <w:jc w:val="center"/>
              <w:rPr>
                <w:rFonts w:ascii="Times New Roman" w:hAnsi="Times New Roman" w:eastAsia="宋体" w:cs="Times New Roman"/>
                <w:szCs w:val="21"/>
              </w:rPr>
            </w:pPr>
            <w:r>
              <w:rPr>
                <w:rFonts w:ascii="Times New Roman" w:hAnsi="Times New Roman" w:eastAsia="宋体" w:cs="Times New Roman"/>
                <w:bCs/>
                <w:szCs w:val="21"/>
              </w:rPr>
              <w:t>DA002</w:t>
            </w:r>
          </w:p>
        </w:tc>
        <w:tc>
          <w:tcPr>
            <w:tcW w:w="518" w:type="pct"/>
            <w:shd w:val="clear" w:color="auto" w:fill="auto"/>
            <w:vAlign w:val="center"/>
          </w:tcPr>
          <w:p>
            <w:pPr>
              <w:widowControl/>
              <w:contextualSpacing/>
              <w:jc w:val="center"/>
              <w:rPr>
                <w:rFonts w:ascii="Times New Roman" w:hAnsi="Times New Roman" w:eastAsia="宋体" w:cs="Times New Roman"/>
                <w:bCs/>
                <w:szCs w:val="21"/>
              </w:rPr>
            </w:pPr>
            <w:r>
              <w:rPr>
                <w:rFonts w:ascii="Times New Roman" w:hAnsi="Times New Roman" w:eastAsia="宋体" w:cs="Times New Roman"/>
                <w:kern w:val="0"/>
                <w:szCs w:val="21"/>
              </w:rPr>
              <w:t>30</w:t>
            </w:r>
          </w:p>
        </w:tc>
        <w:tc>
          <w:tcPr>
            <w:tcW w:w="565"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continue"/>
            <w:vAlign w:val="center"/>
          </w:tcPr>
          <w:p>
            <w:pPr>
              <w:contextualSpacing/>
              <w:jc w:val="center"/>
              <w:rPr>
                <w:rFonts w:ascii="Times New Roman" w:hAnsi="Times New Roman" w:eastAsia="宋体" w:cs="Times New Roman"/>
                <w:szCs w:val="21"/>
              </w:rPr>
            </w:pPr>
          </w:p>
        </w:tc>
        <w:tc>
          <w:tcPr>
            <w:tcW w:w="420" w:type="pct"/>
            <w:shd w:val="clear" w:color="auto" w:fill="auto"/>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沥青存储、拌和</w:t>
            </w:r>
          </w:p>
        </w:tc>
        <w:tc>
          <w:tcPr>
            <w:tcW w:w="714"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非甲烷总烃、沥青烟、苯并芘</w:t>
            </w:r>
          </w:p>
        </w:tc>
        <w:tc>
          <w:tcPr>
            <w:tcW w:w="530" w:type="pc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喷淋洗涤塔+等离子UV光氧一体机+活性炭吸附装置</w:t>
            </w:r>
          </w:p>
        </w:tc>
        <w:tc>
          <w:tcPr>
            <w:tcW w:w="418" w:type="pc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DA003</w:t>
            </w:r>
          </w:p>
        </w:tc>
        <w:tc>
          <w:tcPr>
            <w:tcW w:w="508" w:type="pc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w:t>
            </w:r>
          </w:p>
        </w:tc>
        <w:tc>
          <w:tcPr>
            <w:tcW w:w="524"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喷淋洗涤塔+等离子UV光氧一体机+活性炭吸附装置</w:t>
            </w:r>
          </w:p>
        </w:tc>
        <w:tc>
          <w:tcPr>
            <w:tcW w:w="50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DA003</w:t>
            </w:r>
          </w:p>
        </w:tc>
        <w:tc>
          <w:tcPr>
            <w:tcW w:w="518" w:type="pct"/>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w:t>
            </w:r>
          </w:p>
        </w:tc>
        <w:tc>
          <w:tcPr>
            <w:tcW w:w="565"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1"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420"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生活污水</w:t>
            </w:r>
          </w:p>
        </w:tc>
        <w:tc>
          <w:tcPr>
            <w:tcW w:w="714" w:type="pct"/>
            <w:gridSpan w:val="2"/>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pH、COD、SS、NH</w:t>
            </w:r>
            <w:r>
              <w:rPr>
                <w:rFonts w:ascii="Times New Roman" w:hAnsi="Times New Roman" w:eastAsia="宋体" w:cs="Times New Roman"/>
                <w:szCs w:val="21"/>
                <w:vertAlign w:val="subscript"/>
              </w:rPr>
              <w:t>3</w:t>
            </w:r>
            <w:r>
              <w:rPr>
                <w:rFonts w:ascii="Times New Roman" w:hAnsi="Times New Roman" w:eastAsia="宋体" w:cs="Times New Roman"/>
                <w:szCs w:val="21"/>
              </w:rPr>
              <w:t>-N、TP</w:t>
            </w:r>
          </w:p>
        </w:tc>
        <w:tc>
          <w:tcPr>
            <w:tcW w:w="1456" w:type="pct"/>
            <w:gridSpan w:val="3"/>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生活污水经“化粪池”处理后用于农田上施肥</w:t>
            </w:r>
          </w:p>
        </w:tc>
        <w:tc>
          <w:tcPr>
            <w:tcW w:w="1544" w:type="pct"/>
            <w:gridSpan w:val="3"/>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生活污水经“化粪池”处理后用于农田上施肥</w:t>
            </w:r>
          </w:p>
        </w:tc>
        <w:tc>
          <w:tcPr>
            <w:tcW w:w="565"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420"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生产</w:t>
            </w:r>
          </w:p>
        </w:tc>
        <w:tc>
          <w:tcPr>
            <w:tcW w:w="714" w:type="pct"/>
            <w:gridSpan w:val="2"/>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1456"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隔声、减震、距离衰减等</w:t>
            </w:r>
          </w:p>
        </w:tc>
        <w:tc>
          <w:tcPr>
            <w:tcW w:w="1544" w:type="pct"/>
            <w:gridSpan w:val="3"/>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隔声、减震、距离衰减等</w:t>
            </w:r>
          </w:p>
        </w:tc>
        <w:tc>
          <w:tcPr>
            <w:tcW w:w="565" w:type="pc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固废</w:t>
            </w:r>
          </w:p>
        </w:tc>
        <w:tc>
          <w:tcPr>
            <w:tcW w:w="420" w:type="pct"/>
            <w:vMerge w:val="restart"/>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生产、生活</w:t>
            </w:r>
          </w:p>
        </w:tc>
        <w:tc>
          <w:tcPr>
            <w:tcW w:w="714" w:type="pct"/>
            <w:gridSpan w:val="2"/>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生活垃圾</w:t>
            </w:r>
          </w:p>
        </w:tc>
        <w:tc>
          <w:tcPr>
            <w:tcW w:w="1456"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产生量48t/a，由环卫部门清运</w:t>
            </w:r>
          </w:p>
        </w:tc>
        <w:tc>
          <w:tcPr>
            <w:tcW w:w="1544" w:type="pct"/>
            <w:gridSpan w:val="3"/>
            <w:vAlign w:val="center"/>
          </w:tcPr>
          <w:p>
            <w:pPr>
              <w:widowControl/>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产生量48t/a，由环卫部门清运</w:t>
            </w:r>
          </w:p>
        </w:tc>
        <w:tc>
          <w:tcPr>
            <w:tcW w:w="565"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continue"/>
            <w:vAlign w:val="center"/>
          </w:tcPr>
          <w:p>
            <w:pPr>
              <w:contextualSpacing/>
              <w:jc w:val="center"/>
              <w:rPr>
                <w:rFonts w:ascii="Times New Roman" w:hAnsi="Times New Roman" w:eastAsia="宋体" w:cs="Times New Roman"/>
                <w:szCs w:val="21"/>
              </w:rPr>
            </w:pPr>
          </w:p>
        </w:tc>
        <w:tc>
          <w:tcPr>
            <w:tcW w:w="420" w:type="pct"/>
            <w:vMerge w:val="continue"/>
            <w:vAlign w:val="center"/>
          </w:tcPr>
          <w:p>
            <w:pPr>
              <w:widowControl/>
              <w:contextualSpacing/>
              <w:jc w:val="center"/>
              <w:rPr>
                <w:rFonts w:ascii="Times New Roman" w:hAnsi="Times New Roman" w:eastAsia="宋体" w:cs="Times New Roman"/>
                <w:kern w:val="0"/>
                <w:szCs w:val="21"/>
              </w:rPr>
            </w:pPr>
          </w:p>
        </w:tc>
        <w:tc>
          <w:tcPr>
            <w:tcW w:w="349" w:type="pc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一般工业固体废物</w:t>
            </w:r>
          </w:p>
        </w:tc>
        <w:tc>
          <w:tcPr>
            <w:tcW w:w="366"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灰渣</w:t>
            </w:r>
          </w:p>
        </w:tc>
        <w:tc>
          <w:tcPr>
            <w:tcW w:w="1456"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w:t>
            </w:r>
            <w:r>
              <w:rPr>
                <w:rFonts w:ascii="Times New Roman" w:hAnsi="Times New Roman" w:eastAsia="宋体" w:cs="Times New Roman"/>
                <w:szCs w:val="21"/>
              </w:rPr>
              <w:t>196.55</w:t>
            </w:r>
            <w:r>
              <w:rPr>
                <w:rFonts w:ascii="Times New Roman" w:hAnsi="Times New Roman" w:eastAsia="宋体" w:cs="Times New Roman"/>
                <w:kern w:val="0"/>
                <w:szCs w:val="21"/>
              </w:rPr>
              <w:t>t/a，回收利用</w:t>
            </w:r>
          </w:p>
        </w:tc>
        <w:tc>
          <w:tcPr>
            <w:tcW w:w="1544"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w:t>
            </w:r>
            <w:r>
              <w:rPr>
                <w:rFonts w:ascii="Times New Roman" w:hAnsi="Times New Roman" w:eastAsia="宋体" w:cs="Times New Roman"/>
                <w:szCs w:val="21"/>
              </w:rPr>
              <w:t>196.55</w:t>
            </w:r>
            <w:r>
              <w:rPr>
                <w:rFonts w:ascii="Times New Roman" w:hAnsi="Times New Roman" w:eastAsia="宋体" w:cs="Times New Roman"/>
                <w:kern w:val="0"/>
                <w:szCs w:val="21"/>
              </w:rPr>
              <w:t>t/a，回收利用</w:t>
            </w:r>
          </w:p>
        </w:tc>
        <w:tc>
          <w:tcPr>
            <w:tcW w:w="565"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continue"/>
            <w:vAlign w:val="center"/>
          </w:tcPr>
          <w:p>
            <w:pPr>
              <w:contextualSpacing/>
              <w:jc w:val="center"/>
              <w:rPr>
                <w:rFonts w:ascii="Times New Roman" w:hAnsi="Times New Roman" w:eastAsia="宋体" w:cs="Times New Roman"/>
                <w:szCs w:val="21"/>
              </w:rPr>
            </w:pPr>
          </w:p>
        </w:tc>
        <w:tc>
          <w:tcPr>
            <w:tcW w:w="420" w:type="pct"/>
            <w:vMerge w:val="continue"/>
            <w:vAlign w:val="center"/>
          </w:tcPr>
          <w:p>
            <w:pPr>
              <w:widowControl/>
              <w:contextualSpacing/>
              <w:jc w:val="center"/>
              <w:rPr>
                <w:rFonts w:ascii="Times New Roman" w:hAnsi="Times New Roman" w:eastAsia="宋体" w:cs="Times New Roman"/>
                <w:kern w:val="0"/>
                <w:szCs w:val="21"/>
              </w:rPr>
            </w:pPr>
          </w:p>
        </w:tc>
        <w:tc>
          <w:tcPr>
            <w:tcW w:w="349" w:type="pct"/>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危险固废</w:t>
            </w:r>
          </w:p>
        </w:tc>
        <w:tc>
          <w:tcPr>
            <w:tcW w:w="366"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废活性炭</w:t>
            </w:r>
          </w:p>
        </w:tc>
        <w:tc>
          <w:tcPr>
            <w:tcW w:w="1456"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w:t>
            </w:r>
            <w:r>
              <w:rPr>
                <w:rFonts w:ascii="Times New Roman" w:hAnsi="Times New Roman" w:eastAsia="宋体" w:cs="Times New Roman"/>
                <w:szCs w:val="21"/>
              </w:rPr>
              <w:t>1</w:t>
            </w:r>
            <w:r>
              <w:rPr>
                <w:rFonts w:ascii="Times New Roman" w:hAnsi="Times New Roman" w:eastAsia="宋体" w:cs="Times New Roman"/>
                <w:kern w:val="0"/>
                <w:szCs w:val="21"/>
              </w:rPr>
              <w:t>t/a，委托有资质单位处置</w:t>
            </w:r>
          </w:p>
        </w:tc>
        <w:tc>
          <w:tcPr>
            <w:tcW w:w="1544"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w:t>
            </w:r>
            <w:r>
              <w:rPr>
                <w:rFonts w:ascii="Times New Roman" w:hAnsi="Times New Roman" w:eastAsia="宋体" w:cs="Times New Roman"/>
                <w:szCs w:val="21"/>
              </w:rPr>
              <w:t>1</w:t>
            </w:r>
            <w:r>
              <w:rPr>
                <w:rFonts w:ascii="Times New Roman" w:hAnsi="Times New Roman" w:eastAsia="宋体" w:cs="Times New Roman"/>
                <w:kern w:val="0"/>
                <w:szCs w:val="21"/>
              </w:rPr>
              <w:t>t/a，委托有资质单位处置</w:t>
            </w:r>
          </w:p>
        </w:tc>
        <w:tc>
          <w:tcPr>
            <w:tcW w:w="565"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1" w:type="pct"/>
            <w:vMerge w:val="continue"/>
            <w:vAlign w:val="center"/>
          </w:tcPr>
          <w:p>
            <w:pPr>
              <w:contextualSpacing/>
              <w:jc w:val="center"/>
              <w:rPr>
                <w:rFonts w:ascii="Times New Roman" w:hAnsi="Times New Roman" w:eastAsia="宋体" w:cs="Times New Roman"/>
                <w:szCs w:val="21"/>
              </w:rPr>
            </w:pPr>
          </w:p>
        </w:tc>
        <w:tc>
          <w:tcPr>
            <w:tcW w:w="420" w:type="pct"/>
            <w:vMerge w:val="continue"/>
            <w:vAlign w:val="center"/>
          </w:tcPr>
          <w:p>
            <w:pPr>
              <w:widowControl/>
              <w:contextualSpacing/>
              <w:jc w:val="center"/>
              <w:rPr>
                <w:rFonts w:ascii="Times New Roman" w:hAnsi="Times New Roman" w:eastAsia="宋体" w:cs="Times New Roman"/>
                <w:kern w:val="0"/>
                <w:szCs w:val="21"/>
              </w:rPr>
            </w:pPr>
          </w:p>
        </w:tc>
        <w:tc>
          <w:tcPr>
            <w:tcW w:w="349" w:type="pct"/>
            <w:vMerge w:val="continue"/>
            <w:vAlign w:val="center"/>
          </w:tcPr>
          <w:p>
            <w:pPr>
              <w:contextualSpacing/>
              <w:jc w:val="center"/>
              <w:rPr>
                <w:rFonts w:ascii="Times New Roman" w:hAnsi="Times New Roman" w:eastAsia="宋体" w:cs="Times New Roman"/>
                <w:szCs w:val="21"/>
              </w:rPr>
            </w:pPr>
          </w:p>
        </w:tc>
        <w:tc>
          <w:tcPr>
            <w:tcW w:w="366"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废灯管</w:t>
            </w:r>
          </w:p>
        </w:tc>
        <w:tc>
          <w:tcPr>
            <w:tcW w:w="1456"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w:t>
            </w:r>
            <w:r>
              <w:rPr>
                <w:rFonts w:ascii="Times New Roman" w:hAnsi="Times New Roman" w:eastAsia="宋体" w:cs="Times New Roman"/>
                <w:szCs w:val="21"/>
              </w:rPr>
              <w:t>0.001</w:t>
            </w:r>
            <w:r>
              <w:rPr>
                <w:rFonts w:ascii="Times New Roman" w:hAnsi="Times New Roman" w:eastAsia="宋体" w:cs="Times New Roman"/>
                <w:kern w:val="0"/>
                <w:szCs w:val="21"/>
              </w:rPr>
              <w:t>t/a，委托有资质单位处置</w:t>
            </w:r>
          </w:p>
        </w:tc>
        <w:tc>
          <w:tcPr>
            <w:tcW w:w="1544" w:type="pct"/>
            <w:gridSpan w:val="3"/>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产生量</w:t>
            </w:r>
            <w:r>
              <w:rPr>
                <w:rFonts w:ascii="Times New Roman" w:hAnsi="Times New Roman" w:eastAsia="宋体" w:cs="Times New Roman"/>
                <w:szCs w:val="21"/>
              </w:rPr>
              <w:t>0.001</w:t>
            </w:r>
            <w:r>
              <w:rPr>
                <w:rFonts w:ascii="Times New Roman" w:hAnsi="Times New Roman" w:eastAsia="宋体" w:cs="Times New Roman"/>
                <w:kern w:val="0"/>
                <w:szCs w:val="21"/>
              </w:rPr>
              <w:t>t/a，委托有资质单位处置</w:t>
            </w:r>
          </w:p>
        </w:tc>
        <w:tc>
          <w:tcPr>
            <w:tcW w:w="565" w:type="pct"/>
            <w:vAlign w:val="center"/>
          </w:tcPr>
          <w:p>
            <w:pPr>
              <w:contextualSpacing/>
              <w:jc w:val="center"/>
              <w:rPr>
                <w:rFonts w:ascii="Times New Roman" w:hAnsi="Times New Roman" w:eastAsia="宋体" w:cs="Times New Roman"/>
                <w:kern w:val="0"/>
                <w:szCs w:val="21"/>
              </w:rPr>
            </w:pPr>
            <w:r>
              <w:rPr>
                <w:rFonts w:ascii="Times New Roman" w:hAnsi="Times New Roman" w:eastAsia="宋体" w:cs="Times New Roman"/>
                <w:kern w:val="0"/>
                <w:szCs w:val="21"/>
              </w:rPr>
              <w:t>无变动</w:t>
            </w:r>
          </w:p>
        </w:tc>
      </w:tr>
    </w:tbl>
    <w:p>
      <w:pPr>
        <w:spacing w:line="500" w:lineRule="exact"/>
        <w:ind w:firstLine="560" w:firstLineChars="200"/>
        <w:contextualSpacing/>
        <w:rPr>
          <w:rFonts w:ascii="Times New Roman" w:hAnsi="Times New Roman" w:eastAsia="宋体" w:cs="Times New Roman"/>
          <w:sz w:val="28"/>
          <w:szCs w:val="32"/>
        </w:rPr>
        <w:sectPr>
          <w:pgSz w:w="16838" w:h="11906" w:orient="landscape"/>
          <w:pgMar w:top="1440" w:right="1800" w:bottom="1440" w:left="1800" w:header="851" w:footer="992" w:gutter="0"/>
          <w:cols w:space="425" w:num="1"/>
          <w:docGrid w:type="lines" w:linePitch="312" w:charSpace="0"/>
        </w:sectPr>
      </w:pP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由表2.5-1可以看出，企业废气、废水、固废变动后污染防治措施与</w:t>
      </w:r>
      <w:r>
        <w:rPr>
          <w:rFonts w:hint="eastAsia" w:ascii="Times New Roman" w:hAnsi="Times New Roman" w:eastAsia="宋体" w:cs="Times New Roman"/>
          <w:sz w:val="28"/>
          <w:szCs w:val="32"/>
        </w:rPr>
        <w:t>现有情况</w:t>
      </w:r>
      <w:r>
        <w:rPr>
          <w:rFonts w:ascii="Times New Roman" w:hAnsi="Times New Roman" w:eastAsia="宋体" w:cs="Times New Roman"/>
          <w:sz w:val="28"/>
          <w:szCs w:val="32"/>
        </w:rPr>
        <w:t>相比不发生变动。</w:t>
      </w:r>
    </w:p>
    <w:p>
      <w:pPr>
        <w:pStyle w:val="3"/>
        <w:numPr>
          <w:ilvl w:val="1"/>
          <w:numId w:val="0"/>
        </w:numPr>
        <w:spacing w:before="0" w:beforeLines="0" w:after="0" w:afterLines="0"/>
        <w:ind w:left="210"/>
        <w:rPr>
          <w:rFonts w:eastAsia="宋体" w:cs="Times New Roman"/>
        </w:rPr>
      </w:pPr>
      <w:r>
        <w:rPr>
          <w:rFonts w:eastAsia="宋体" w:cs="Times New Roman"/>
        </w:rPr>
        <w:t>2.6排放口情况</w:t>
      </w:r>
      <w:bookmarkEnd w:id="13"/>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项目涉及的排放口变动情况见表2.6-1。</w:t>
      </w:r>
    </w:p>
    <w:p>
      <w:pPr>
        <w:spacing w:line="500" w:lineRule="exact"/>
        <w:ind w:firstLine="560" w:firstLineChars="200"/>
        <w:contextualSpacing/>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sz w:val="28"/>
          <w:szCs w:val="24"/>
        </w:rPr>
      </w:pPr>
      <w:r>
        <w:rPr>
          <w:rFonts w:ascii="Times New Roman" w:hAnsi="Times New Roman" w:eastAsia="宋体" w:cs="Times New Roman"/>
          <w:b/>
          <w:sz w:val="28"/>
          <w:szCs w:val="24"/>
        </w:rPr>
        <w:t>表2.6-1 现有工程涉及的排污口变动情况一览表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134"/>
        <w:gridCol w:w="1293"/>
        <w:gridCol w:w="1137"/>
        <w:gridCol w:w="993"/>
        <w:gridCol w:w="1282"/>
        <w:gridCol w:w="2442"/>
        <w:gridCol w:w="1710"/>
        <w:gridCol w:w="1702"/>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2" w:type="pct"/>
            <w:gridSpan w:val="3"/>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已通过验收或登记的排放口</w:t>
            </w:r>
          </w:p>
        </w:tc>
        <w:tc>
          <w:tcPr>
            <w:tcW w:w="1203" w:type="pct"/>
            <w:gridSpan w:val="3"/>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实际建设的排放口参数</w:t>
            </w:r>
          </w:p>
        </w:tc>
        <w:tc>
          <w:tcPr>
            <w:tcW w:w="861"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排放口位置</w:t>
            </w:r>
          </w:p>
        </w:tc>
        <w:tc>
          <w:tcPr>
            <w:tcW w:w="603"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排放方式</w:t>
            </w:r>
          </w:p>
        </w:tc>
        <w:tc>
          <w:tcPr>
            <w:tcW w:w="600"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排放去向</w:t>
            </w:r>
          </w:p>
        </w:tc>
        <w:tc>
          <w:tcPr>
            <w:tcW w:w="529"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346"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原排放口编号</w:t>
            </w:r>
          </w:p>
        </w:tc>
        <w:tc>
          <w:tcPr>
            <w:tcW w:w="400"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排气筒高度/m</w:t>
            </w:r>
          </w:p>
        </w:tc>
        <w:tc>
          <w:tcPr>
            <w:tcW w:w="456"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设计风量/（m</w:t>
            </w:r>
            <w:r>
              <w:rPr>
                <w:rFonts w:ascii="Times New Roman" w:hAnsi="Times New Roman" w:eastAsia="宋体" w:cs="Times New Roman"/>
                <w:b/>
                <w:bCs/>
                <w:sz w:val="24"/>
                <w:szCs w:val="24"/>
                <w:vertAlign w:val="superscript"/>
              </w:rPr>
              <w:t>3</w:t>
            </w:r>
            <w:r>
              <w:rPr>
                <w:rFonts w:ascii="Times New Roman" w:hAnsi="Times New Roman" w:eastAsia="宋体" w:cs="Times New Roman"/>
                <w:b/>
                <w:bCs/>
                <w:sz w:val="24"/>
                <w:szCs w:val="24"/>
              </w:rPr>
              <w:t>/h）</w:t>
            </w:r>
          </w:p>
        </w:tc>
        <w:tc>
          <w:tcPr>
            <w:tcW w:w="401"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排放口编号</w:t>
            </w:r>
          </w:p>
        </w:tc>
        <w:tc>
          <w:tcPr>
            <w:tcW w:w="350"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排气筒高度/m</w:t>
            </w:r>
          </w:p>
        </w:tc>
        <w:tc>
          <w:tcPr>
            <w:tcW w:w="452"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设计风量/（m</w:t>
            </w:r>
            <w:r>
              <w:rPr>
                <w:rFonts w:ascii="Times New Roman" w:hAnsi="Times New Roman" w:eastAsia="宋体" w:cs="Times New Roman"/>
                <w:b/>
                <w:bCs/>
                <w:sz w:val="24"/>
                <w:szCs w:val="24"/>
                <w:vertAlign w:val="superscript"/>
              </w:rPr>
              <w:t>3</w:t>
            </w:r>
            <w:r>
              <w:rPr>
                <w:rFonts w:ascii="Times New Roman" w:hAnsi="Times New Roman" w:eastAsia="宋体" w:cs="Times New Roman"/>
                <w:b/>
                <w:bCs/>
                <w:sz w:val="24"/>
                <w:szCs w:val="24"/>
              </w:rPr>
              <w:t>/h）</w:t>
            </w:r>
          </w:p>
        </w:tc>
        <w:tc>
          <w:tcPr>
            <w:tcW w:w="861" w:type="pct"/>
            <w:vMerge w:val="continue"/>
            <w:vAlign w:val="center"/>
          </w:tcPr>
          <w:p>
            <w:pPr>
              <w:contextualSpacing/>
              <w:jc w:val="center"/>
              <w:rPr>
                <w:rFonts w:ascii="Times New Roman" w:hAnsi="Times New Roman" w:eastAsia="宋体" w:cs="Times New Roman"/>
                <w:b/>
                <w:bCs/>
                <w:sz w:val="24"/>
                <w:szCs w:val="24"/>
              </w:rPr>
            </w:pPr>
          </w:p>
        </w:tc>
        <w:tc>
          <w:tcPr>
            <w:tcW w:w="603" w:type="pct"/>
            <w:vMerge w:val="continue"/>
            <w:vAlign w:val="center"/>
          </w:tcPr>
          <w:p>
            <w:pPr>
              <w:contextualSpacing/>
              <w:jc w:val="center"/>
              <w:rPr>
                <w:rFonts w:ascii="Times New Roman" w:hAnsi="Times New Roman" w:eastAsia="宋体" w:cs="Times New Roman"/>
                <w:b/>
                <w:bCs/>
                <w:sz w:val="24"/>
                <w:szCs w:val="24"/>
              </w:rPr>
            </w:pPr>
          </w:p>
        </w:tc>
        <w:tc>
          <w:tcPr>
            <w:tcW w:w="600" w:type="pct"/>
            <w:vMerge w:val="continue"/>
            <w:vAlign w:val="center"/>
          </w:tcPr>
          <w:p>
            <w:pPr>
              <w:contextualSpacing/>
              <w:jc w:val="center"/>
              <w:rPr>
                <w:rFonts w:ascii="Times New Roman" w:hAnsi="Times New Roman" w:eastAsia="宋体" w:cs="Times New Roman"/>
                <w:b/>
                <w:bCs/>
                <w:sz w:val="24"/>
                <w:szCs w:val="24"/>
              </w:rPr>
            </w:pPr>
          </w:p>
        </w:tc>
        <w:tc>
          <w:tcPr>
            <w:tcW w:w="529" w:type="pct"/>
            <w:vMerge w:val="continue"/>
            <w:vAlign w:val="center"/>
          </w:tcPr>
          <w:p>
            <w:pPr>
              <w:contextualSpacing/>
              <w:jc w:val="center"/>
              <w:rPr>
                <w:rFonts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bCs/>
                <w:sz w:val="24"/>
                <w:szCs w:val="24"/>
              </w:rPr>
              <w:t>DA001</w:t>
            </w:r>
          </w:p>
        </w:tc>
        <w:tc>
          <w:tcPr>
            <w:tcW w:w="4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8</w:t>
            </w:r>
          </w:p>
        </w:tc>
        <w:tc>
          <w:tcPr>
            <w:tcW w:w="456" w:type="pct"/>
            <w:vAlign w:val="center"/>
          </w:tcPr>
          <w:p>
            <w:pPr>
              <w:contextualSpacing/>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4000</w:t>
            </w:r>
          </w:p>
        </w:tc>
        <w:tc>
          <w:tcPr>
            <w:tcW w:w="1137" w:type="dxa"/>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bCs/>
                <w:sz w:val="24"/>
                <w:szCs w:val="24"/>
              </w:rPr>
              <w:t>DA001</w:t>
            </w:r>
          </w:p>
        </w:tc>
        <w:tc>
          <w:tcPr>
            <w:tcW w:w="993" w:type="dxa"/>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8</w:t>
            </w:r>
          </w:p>
        </w:tc>
        <w:tc>
          <w:tcPr>
            <w:tcW w:w="1282" w:type="dxa"/>
            <w:shd w:val="clear" w:color="auto" w:fill="auto"/>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973</w:t>
            </w:r>
          </w:p>
        </w:tc>
        <w:tc>
          <w:tcPr>
            <w:tcW w:w="861"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119°5′3.70″；34°41′13.63″</w:t>
            </w:r>
          </w:p>
        </w:tc>
        <w:tc>
          <w:tcPr>
            <w:tcW w:w="60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间歇排放</w:t>
            </w:r>
          </w:p>
        </w:tc>
        <w:tc>
          <w:tcPr>
            <w:tcW w:w="6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大气</w:t>
            </w:r>
          </w:p>
        </w:tc>
        <w:tc>
          <w:tcPr>
            <w:tcW w:w="529"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bCs/>
                <w:sz w:val="24"/>
                <w:szCs w:val="24"/>
              </w:rPr>
              <w:t>DA002</w:t>
            </w:r>
          </w:p>
        </w:tc>
        <w:tc>
          <w:tcPr>
            <w:tcW w:w="400" w:type="pct"/>
            <w:vAlign w:val="center"/>
          </w:tcPr>
          <w:p>
            <w:pPr>
              <w:widowControl/>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30</w:t>
            </w:r>
          </w:p>
        </w:tc>
        <w:tc>
          <w:tcPr>
            <w:tcW w:w="456" w:type="pct"/>
            <w:vAlign w:val="center"/>
          </w:tcPr>
          <w:p>
            <w:pPr>
              <w:contextualSpacing/>
              <w:jc w:val="center"/>
              <w:rPr>
                <w:rFonts w:ascii="Times New Roman" w:hAnsi="Times New Roman" w:eastAsia="宋体" w:cs="Times New Roman"/>
                <w:bCs/>
                <w:sz w:val="24"/>
                <w:szCs w:val="24"/>
              </w:rPr>
            </w:pPr>
            <w:r>
              <w:rPr>
                <w:rFonts w:hint="eastAsia" w:ascii="Times New Roman" w:hAnsi="Times New Roman" w:eastAsia="宋体" w:cs="Times New Roman"/>
                <w:bCs/>
                <w:sz w:val="24"/>
                <w:szCs w:val="24"/>
              </w:rPr>
              <w:t>14</w:t>
            </w:r>
            <w:r>
              <w:rPr>
                <w:rFonts w:ascii="Times New Roman" w:hAnsi="Times New Roman" w:eastAsia="宋体" w:cs="Times New Roman"/>
                <w:bCs/>
                <w:sz w:val="24"/>
                <w:szCs w:val="24"/>
              </w:rPr>
              <w:t>0000</w:t>
            </w:r>
          </w:p>
        </w:tc>
        <w:tc>
          <w:tcPr>
            <w:tcW w:w="1137" w:type="dxa"/>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bCs/>
                <w:sz w:val="24"/>
                <w:szCs w:val="24"/>
              </w:rPr>
              <w:t>DA002</w:t>
            </w:r>
          </w:p>
        </w:tc>
        <w:tc>
          <w:tcPr>
            <w:tcW w:w="993" w:type="dxa"/>
            <w:vAlign w:val="center"/>
          </w:tcPr>
          <w:p>
            <w:pPr>
              <w:widowControl/>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30</w:t>
            </w:r>
          </w:p>
        </w:tc>
        <w:tc>
          <w:tcPr>
            <w:tcW w:w="1282" w:type="dxa"/>
            <w:shd w:val="clear" w:color="auto" w:fill="auto"/>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140000</w:t>
            </w:r>
          </w:p>
        </w:tc>
        <w:tc>
          <w:tcPr>
            <w:tcW w:w="861"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119°5′4.42″；34°41′12.62″</w:t>
            </w:r>
          </w:p>
        </w:tc>
        <w:tc>
          <w:tcPr>
            <w:tcW w:w="60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间歇排放</w:t>
            </w:r>
          </w:p>
        </w:tc>
        <w:tc>
          <w:tcPr>
            <w:tcW w:w="6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大气</w:t>
            </w:r>
          </w:p>
        </w:tc>
        <w:tc>
          <w:tcPr>
            <w:tcW w:w="529"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无变动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 w:type="pct"/>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bCs/>
                <w:sz w:val="24"/>
                <w:szCs w:val="24"/>
              </w:rPr>
              <w:t>DA003</w:t>
            </w:r>
          </w:p>
        </w:tc>
        <w:tc>
          <w:tcPr>
            <w:tcW w:w="400" w:type="pct"/>
            <w:vAlign w:val="center"/>
          </w:tcPr>
          <w:p>
            <w:pPr>
              <w:widowControl/>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15</w:t>
            </w:r>
          </w:p>
        </w:tc>
        <w:tc>
          <w:tcPr>
            <w:tcW w:w="456"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30000</w:t>
            </w:r>
          </w:p>
        </w:tc>
        <w:tc>
          <w:tcPr>
            <w:tcW w:w="1137" w:type="dxa"/>
            <w:vAlign w:val="center"/>
          </w:tcPr>
          <w:p>
            <w:pPr>
              <w:widowControl/>
              <w:contextualSpacing/>
              <w:jc w:val="center"/>
              <w:rPr>
                <w:rFonts w:ascii="Times New Roman" w:hAnsi="Times New Roman" w:eastAsia="宋体" w:cs="Times New Roman"/>
                <w:sz w:val="24"/>
                <w:szCs w:val="24"/>
              </w:rPr>
            </w:pPr>
            <w:r>
              <w:rPr>
                <w:rFonts w:ascii="Times New Roman" w:hAnsi="Times New Roman" w:eastAsia="宋体" w:cs="Times New Roman"/>
                <w:bCs/>
                <w:sz w:val="24"/>
                <w:szCs w:val="24"/>
              </w:rPr>
              <w:t>DA003</w:t>
            </w:r>
          </w:p>
        </w:tc>
        <w:tc>
          <w:tcPr>
            <w:tcW w:w="993" w:type="dxa"/>
            <w:vAlign w:val="center"/>
          </w:tcPr>
          <w:p>
            <w:pPr>
              <w:widowControl/>
              <w:contextualSpacing/>
              <w:jc w:val="center"/>
              <w:rPr>
                <w:rFonts w:ascii="Times New Roman" w:hAnsi="Times New Roman" w:eastAsia="宋体" w:cs="Times New Roman"/>
                <w:bCs/>
                <w:sz w:val="24"/>
                <w:szCs w:val="24"/>
              </w:rPr>
            </w:pPr>
            <w:r>
              <w:rPr>
                <w:rFonts w:ascii="Times New Roman" w:hAnsi="Times New Roman" w:eastAsia="宋体" w:cs="Times New Roman"/>
                <w:kern w:val="0"/>
                <w:sz w:val="24"/>
                <w:szCs w:val="24"/>
              </w:rPr>
              <w:t>15</w:t>
            </w:r>
          </w:p>
        </w:tc>
        <w:tc>
          <w:tcPr>
            <w:tcW w:w="1282" w:type="dxa"/>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30000</w:t>
            </w:r>
          </w:p>
        </w:tc>
        <w:tc>
          <w:tcPr>
            <w:tcW w:w="861"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119°5′3.73″；34°41′13.78″</w:t>
            </w:r>
          </w:p>
        </w:tc>
        <w:tc>
          <w:tcPr>
            <w:tcW w:w="603"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间歇排放</w:t>
            </w:r>
          </w:p>
        </w:tc>
        <w:tc>
          <w:tcPr>
            <w:tcW w:w="600" w:type="pct"/>
            <w:vAlign w:val="center"/>
          </w:tcPr>
          <w:p>
            <w:pPr>
              <w:contextualSpacing/>
              <w:jc w:val="center"/>
              <w:rPr>
                <w:rFonts w:ascii="Times New Roman" w:hAnsi="Times New Roman" w:eastAsia="宋体" w:cs="Times New Roman"/>
                <w:bCs/>
                <w:sz w:val="24"/>
                <w:szCs w:val="24"/>
              </w:rPr>
            </w:pPr>
            <w:r>
              <w:rPr>
                <w:rFonts w:ascii="Times New Roman" w:hAnsi="Times New Roman" w:eastAsia="宋体" w:cs="Times New Roman"/>
                <w:bCs/>
                <w:sz w:val="24"/>
                <w:szCs w:val="24"/>
              </w:rPr>
              <w:t>大气</w:t>
            </w:r>
          </w:p>
        </w:tc>
        <w:tc>
          <w:tcPr>
            <w:tcW w:w="529" w:type="pct"/>
            <w:vAlign w:val="center"/>
          </w:tcPr>
          <w:p>
            <w:pPr>
              <w:contextualSpacing/>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无变动</w:t>
            </w:r>
          </w:p>
        </w:tc>
      </w:tr>
    </w:tbl>
    <w:p>
      <w:pPr>
        <w:spacing w:line="500" w:lineRule="exact"/>
        <w:ind w:firstLine="560" w:firstLineChars="200"/>
        <w:contextualSpacing/>
        <w:rPr>
          <w:rFonts w:ascii="Times New Roman" w:hAnsi="Times New Roman" w:eastAsia="宋体" w:cs="Times New Roman"/>
          <w:sz w:val="28"/>
          <w:szCs w:val="32"/>
        </w:rPr>
        <w:sectPr>
          <w:pgSz w:w="16838" w:h="11906" w:orient="landscape"/>
          <w:pgMar w:top="1800" w:right="1440" w:bottom="1800" w:left="1440" w:header="851" w:footer="992" w:gutter="0"/>
          <w:cols w:space="425" w:num="1"/>
          <w:docGrid w:type="lines" w:linePitch="312" w:charSpace="0"/>
        </w:sectPr>
      </w:pPr>
    </w:p>
    <w:p>
      <w:pPr>
        <w:pStyle w:val="3"/>
        <w:numPr>
          <w:ilvl w:val="1"/>
          <w:numId w:val="0"/>
        </w:numPr>
        <w:spacing w:before="0" w:beforeLines="0" w:after="0" w:afterLines="0"/>
        <w:ind w:left="210"/>
        <w:rPr>
          <w:rFonts w:eastAsia="宋体" w:cs="Times New Roman"/>
        </w:rPr>
      </w:pPr>
      <w:bookmarkStart w:id="14" w:name="_Toc150182766"/>
      <w:r>
        <w:rPr>
          <w:rFonts w:eastAsia="宋体" w:cs="Times New Roman"/>
        </w:rPr>
        <w:t>2.7小结</w:t>
      </w:r>
      <w:bookmarkEnd w:id="14"/>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综上可知，本公司本次验收后主要变动内容如下：</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w:t>
      </w:r>
      <w:r>
        <w:rPr>
          <w:rFonts w:hint="eastAsia" w:ascii="Times New Roman" w:hAnsi="Times New Roman" w:eastAsia="宋体" w:cs="Times New Roman"/>
          <w:sz w:val="28"/>
          <w:szCs w:val="32"/>
          <w:lang w:val="en-US" w:eastAsia="zh-CN"/>
        </w:rPr>
        <w:t>明确</w:t>
      </w:r>
      <w:r>
        <w:rPr>
          <w:rFonts w:ascii="Times New Roman" w:hAnsi="Times New Roman" w:eastAsia="宋体" w:cs="Times New Roman"/>
          <w:sz w:val="28"/>
          <w:szCs w:val="32"/>
        </w:rPr>
        <w:t>原料部分使用旧沥青混合料。</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（2）燃料由使用柴油改为天然气</w:t>
      </w:r>
      <w:r>
        <w:rPr>
          <w:rFonts w:hint="eastAsia" w:ascii="Times New Roman" w:hAnsi="Times New Roman" w:eastAsia="宋体" w:cs="Times New Roman"/>
          <w:sz w:val="28"/>
          <w:szCs w:val="32"/>
        </w:rPr>
        <w:t>（</w:t>
      </w:r>
      <w:r>
        <w:rPr>
          <w:rFonts w:ascii="Times New Roman" w:hAnsi="Times New Roman" w:eastAsia="宋体" w:cs="Times New Roman"/>
          <w:sz w:val="28"/>
          <w:szCs w:val="32"/>
        </w:rPr>
        <w:t>柴油作为备用</w:t>
      </w:r>
      <w:r>
        <w:rPr>
          <w:rFonts w:hint="eastAsia" w:ascii="Times New Roman" w:hAnsi="Times New Roman" w:eastAsia="宋体" w:cs="Times New Roman"/>
          <w:sz w:val="28"/>
          <w:szCs w:val="32"/>
        </w:rPr>
        <w:t>）</w:t>
      </w:r>
      <w:r>
        <w:rPr>
          <w:rFonts w:ascii="Times New Roman" w:hAnsi="Times New Roman" w:eastAsia="宋体" w:cs="Times New Roman"/>
          <w:sz w:val="28"/>
          <w:szCs w:val="32"/>
        </w:rPr>
        <w:t>。</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将上述变动对照《建设项目环境影响评价分类管理名录（2021版）》，分析情况见表2.7-1。对照名录，企业涉及的变动内容无需纳入环评管理范围。</w:t>
      </w:r>
    </w:p>
    <w:p>
      <w:pPr>
        <w:spacing w:line="500" w:lineRule="exact"/>
        <w:contextualSpacing/>
        <w:jc w:val="center"/>
        <w:rPr>
          <w:rFonts w:ascii="Times New Roman" w:hAnsi="Times New Roman" w:eastAsia="宋体" w:cs="Times New Roman"/>
          <w:b/>
          <w:sz w:val="28"/>
          <w:szCs w:val="24"/>
        </w:rPr>
      </w:pPr>
      <w:r>
        <w:rPr>
          <w:rFonts w:ascii="Times New Roman" w:hAnsi="Times New Roman" w:eastAsia="宋体" w:cs="Times New Roman"/>
          <w:b/>
          <w:sz w:val="28"/>
          <w:szCs w:val="24"/>
        </w:rPr>
        <w:t>表2.7-1 变动内容对照分类管理名录分析一栏表</w:t>
      </w:r>
    </w:p>
    <w:tbl>
      <w:tblPr>
        <w:tblStyle w:val="3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485"/>
        <w:gridCol w:w="988"/>
        <w:gridCol w:w="901"/>
        <w:gridCol w:w="855"/>
        <w:gridCol w:w="841"/>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8"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序号</w:t>
            </w:r>
          </w:p>
        </w:tc>
        <w:tc>
          <w:tcPr>
            <w:tcW w:w="872"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变动内容</w:t>
            </w:r>
          </w:p>
        </w:tc>
        <w:tc>
          <w:tcPr>
            <w:tcW w:w="2105" w:type="pct"/>
            <w:gridSpan w:val="4"/>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分类管理名录</w:t>
            </w:r>
          </w:p>
        </w:tc>
        <w:tc>
          <w:tcPr>
            <w:tcW w:w="1753" w:type="pct"/>
            <w:vMerge w:val="restar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变动分析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8" w:type="pct"/>
            <w:vMerge w:val="continue"/>
            <w:vAlign w:val="center"/>
          </w:tcPr>
          <w:p>
            <w:pPr>
              <w:contextualSpacing/>
              <w:jc w:val="center"/>
              <w:rPr>
                <w:rFonts w:ascii="Times New Roman" w:hAnsi="Times New Roman" w:eastAsia="宋体" w:cs="Times New Roman"/>
                <w:b/>
                <w:bCs/>
                <w:sz w:val="24"/>
                <w:szCs w:val="24"/>
              </w:rPr>
            </w:pPr>
          </w:p>
        </w:tc>
        <w:tc>
          <w:tcPr>
            <w:tcW w:w="872" w:type="pct"/>
            <w:vMerge w:val="continue"/>
            <w:vAlign w:val="center"/>
          </w:tcPr>
          <w:p>
            <w:pPr>
              <w:contextualSpacing/>
              <w:jc w:val="center"/>
              <w:rPr>
                <w:rFonts w:ascii="Times New Roman" w:hAnsi="Times New Roman" w:eastAsia="宋体" w:cs="Times New Roman"/>
                <w:b/>
                <w:bCs/>
                <w:sz w:val="24"/>
                <w:szCs w:val="24"/>
              </w:rPr>
            </w:pPr>
          </w:p>
        </w:tc>
        <w:tc>
          <w:tcPr>
            <w:tcW w:w="580"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项目类别</w:t>
            </w:r>
          </w:p>
        </w:tc>
        <w:tc>
          <w:tcPr>
            <w:tcW w:w="529"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报告书</w:t>
            </w:r>
          </w:p>
        </w:tc>
        <w:tc>
          <w:tcPr>
            <w:tcW w:w="502"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报告表</w:t>
            </w:r>
          </w:p>
        </w:tc>
        <w:tc>
          <w:tcPr>
            <w:tcW w:w="494" w:type="pct"/>
            <w:vAlign w:val="center"/>
          </w:tcPr>
          <w:p>
            <w:pPr>
              <w:contextualSpacing/>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登记表</w:t>
            </w:r>
          </w:p>
        </w:tc>
        <w:tc>
          <w:tcPr>
            <w:tcW w:w="1753" w:type="pct"/>
            <w:vMerge w:val="continue"/>
            <w:vAlign w:val="center"/>
          </w:tcPr>
          <w:p>
            <w:pPr>
              <w:contextualSpacing/>
              <w:jc w:val="center"/>
              <w:rPr>
                <w:rFonts w:ascii="Times New Roman" w:hAnsi="Times New Roman" w:eastAsia="宋体"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8"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872"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明确</w:t>
            </w:r>
            <w:r>
              <w:rPr>
                <w:rFonts w:ascii="Times New Roman" w:hAnsi="Times New Roman" w:eastAsia="宋体" w:cs="Times New Roman"/>
                <w:sz w:val="24"/>
                <w:szCs w:val="24"/>
              </w:rPr>
              <w:t>原料部分使用旧沥青混合料</w:t>
            </w:r>
          </w:p>
        </w:tc>
        <w:tc>
          <w:tcPr>
            <w:tcW w:w="58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529"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502"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94"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753" w:type="pct"/>
            <w:vAlign w:val="center"/>
          </w:tcPr>
          <w:p>
            <w:pPr>
              <w:widowControl/>
              <w:jc w:val="left"/>
              <w:rPr>
                <w:rFonts w:hint="eastAsia" w:ascii="宋体" w:hAnsi="宋体" w:eastAsia="宋体" w:cs="宋体"/>
                <w:color w:val="000000"/>
                <w:kern w:val="0"/>
                <w:sz w:val="24"/>
                <w:szCs w:val="24"/>
                <w:lang w:bidi="ar"/>
              </w:rPr>
            </w:pPr>
            <w:r>
              <w:rPr>
                <w:rFonts w:hint="eastAsia" w:ascii="Times New Roman" w:hAnsi="Times New Roman" w:eastAsia="宋体" w:cs="Times New Roman"/>
                <w:sz w:val="24"/>
                <w:szCs w:val="24"/>
              </w:rPr>
              <w:t>本项目属于</w:t>
            </w:r>
            <w:r>
              <w:rPr>
                <w:rFonts w:ascii="Times New Roman" w:hAnsi="Times New Roman" w:eastAsia="宋体" w:cs="Times New Roman"/>
                <w:color w:val="000000"/>
                <w:kern w:val="0"/>
                <w:sz w:val="24"/>
                <w:szCs w:val="24"/>
                <w:lang w:bidi="ar"/>
              </w:rPr>
              <w:t xml:space="preserve">C3099 </w:t>
            </w:r>
            <w:r>
              <w:rPr>
                <w:rFonts w:hint="eastAsia" w:ascii="宋体" w:hAnsi="宋体" w:eastAsia="宋体" w:cs="宋体"/>
                <w:color w:val="000000"/>
                <w:kern w:val="0"/>
                <w:sz w:val="24"/>
                <w:szCs w:val="24"/>
                <w:lang w:bidi="ar"/>
              </w:rPr>
              <w:t>其他非金属矿物制品制造行业，</w:t>
            </w:r>
          </w:p>
          <w:p>
            <w:pPr>
              <w:widowControl/>
              <w:jc w:val="left"/>
              <w:rPr>
                <w:rFonts w:ascii="Times New Roman" w:hAnsi="Times New Roman" w:eastAsia="宋体" w:cs="Times New Roman"/>
                <w:sz w:val="24"/>
                <w:szCs w:val="24"/>
              </w:rPr>
            </w:pPr>
            <w:r>
              <w:rPr>
                <w:rFonts w:hint="eastAsia" w:ascii="宋体" w:hAnsi="宋体" w:eastAsia="宋体" w:cs="宋体"/>
                <w:color w:val="000000"/>
                <w:kern w:val="0"/>
                <w:sz w:val="24"/>
                <w:szCs w:val="24"/>
                <w:lang w:bidi="ar"/>
              </w:rPr>
              <w:t>原环评文件较粗糙、未明确沥青是否为旧沥青</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变动后明确</w:t>
            </w:r>
            <w:r>
              <w:rPr>
                <w:rFonts w:hint="eastAsia" w:ascii="宋体" w:hAnsi="宋体" w:eastAsia="宋体" w:cs="宋体"/>
                <w:color w:val="000000"/>
                <w:kern w:val="0"/>
                <w:sz w:val="24"/>
                <w:szCs w:val="24"/>
                <w:lang w:bidi="ar"/>
              </w:rPr>
              <w:t>采用旧沥青等量替代新沥青，既符合政策要求，</w:t>
            </w:r>
            <w:r>
              <w:rPr>
                <w:rFonts w:hint="eastAsia" w:ascii="宋体" w:hAnsi="宋体" w:eastAsia="宋体" w:cs="宋体"/>
                <w:color w:val="000000"/>
                <w:kern w:val="0"/>
                <w:sz w:val="24"/>
                <w:szCs w:val="24"/>
                <w:lang w:val="en-US" w:eastAsia="zh-CN" w:bidi="ar"/>
              </w:rPr>
              <w:t>亦</w:t>
            </w:r>
            <w:r>
              <w:rPr>
                <w:rFonts w:hint="eastAsia" w:ascii="宋体" w:hAnsi="宋体" w:eastAsia="宋体" w:cs="宋体"/>
                <w:color w:val="000000"/>
                <w:kern w:val="0"/>
                <w:sz w:val="24"/>
                <w:szCs w:val="24"/>
                <w:lang w:bidi="ar"/>
              </w:rPr>
              <w:t>不会增加</w:t>
            </w:r>
            <w:r>
              <w:rPr>
                <w:rFonts w:ascii="Times New Roman" w:hAnsi="Times New Roman" w:eastAsia="宋体" w:cs="Times New Roman"/>
                <w:sz w:val="24"/>
                <w:szCs w:val="24"/>
              </w:rPr>
              <w:t>污染排放种类和排放量增加，</w:t>
            </w:r>
            <w:r>
              <w:rPr>
                <w:rFonts w:ascii="Times New Roman" w:hAnsi="Times New Roman" w:eastAsia="宋体" w:cs="Times New Roman"/>
                <w:b/>
                <w:bCs/>
                <w:sz w:val="24"/>
                <w:szCs w:val="24"/>
              </w:rPr>
              <w:t>该变动无需纳入环评管理范围</w:t>
            </w:r>
            <w:r>
              <w:rPr>
                <w:rFonts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8" w:type="pct"/>
            <w:vAlign w:val="center"/>
          </w:tcPr>
          <w:p>
            <w:pPr>
              <w:contextualSpacing/>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872"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燃料由使用柴油改为天然气</w:t>
            </w:r>
          </w:p>
        </w:tc>
        <w:tc>
          <w:tcPr>
            <w:tcW w:w="580"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529"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502"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494" w:type="pct"/>
            <w:vAlign w:val="center"/>
          </w:tcPr>
          <w:p>
            <w:pPr>
              <w:autoSpaceDE w:val="0"/>
              <w:autoSpaceDN w:val="0"/>
              <w:adjustRightInd w:val="0"/>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753" w:type="pct"/>
            <w:vAlign w:val="center"/>
          </w:tcPr>
          <w:p>
            <w:pPr>
              <w:contextualSpacing/>
              <w:jc w:val="center"/>
              <w:rPr>
                <w:rFonts w:ascii="Times New Roman" w:hAnsi="Times New Roman" w:eastAsia="宋体" w:cs="Times New Roman"/>
                <w:sz w:val="24"/>
                <w:szCs w:val="24"/>
              </w:rPr>
            </w:pPr>
            <w:r>
              <w:rPr>
                <w:rFonts w:ascii="Times New Roman" w:hAnsi="Times New Roman" w:eastAsia="宋体" w:cs="Times New Roman"/>
                <w:sz w:val="24"/>
                <w:szCs w:val="24"/>
              </w:rPr>
              <w:t>燃料由使用柴油改为天然气</w:t>
            </w:r>
            <w:r>
              <w:rPr>
                <w:rFonts w:hint="eastAsia" w:ascii="Times New Roman" w:hAnsi="Times New Roman" w:eastAsia="宋体" w:cs="Times New Roman"/>
                <w:sz w:val="24"/>
                <w:szCs w:val="24"/>
              </w:rPr>
              <w:t>，变为使用清洁能源</w:t>
            </w:r>
            <w:r>
              <w:rPr>
                <w:rFonts w:ascii="Times New Roman" w:hAnsi="Times New Roman" w:eastAsia="宋体" w:cs="Times New Roman"/>
                <w:sz w:val="24"/>
                <w:szCs w:val="24"/>
              </w:rPr>
              <w:t>。不会增加污染排放种类和排放量增加，</w:t>
            </w:r>
            <w:r>
              <w:rPr>
                <w:rFonts w:ascii="Times New Roman" w:hAnsi="Times New Roman" w:eastAsia="宋体" w:cs="Times New Roman"/>
                <w:b/>
                <w:bCs/>
                <w:sz w:val="24"/>
                <w:szCs w:val="24"/>
              </w:rPr>
              <w:t>该变动无需纳入环评管理范围</w:t>
            </w:r>
            <w:r>
              <w:rPr>
                <w:rFonts w:ascii="Times New Roman" w:hAnsi="Times New Roman" w:eastAsia="宋体" w:cs="Times New Roman"/>
                <w:sz w:val="24"/>
                <w:szCs w:val="24"/>
              </w:rPr>
              <w:t>。</w:t>
            </w:r>
          </w:p>
        </w:tc>
      </w:tr>
    </w:tbl>
    <w:p>
      <w:pPr>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pPr>
        <w:pStyle w:val="2"/>
        <w:spacing w:before="0" w:beforeLines="0" w:after="0" w:afterLines="0" w:line="600" w:lineRule="exact"/>
        <w:rPr>
          <w:rFonts w:eastAsia="宋体" w:cs="Times New Roman"/>
        </w:rPr>
      </w:pPr>
      <w:bookmarkStart w:id="15" w:name="_Toc150182767"/>
      <w:r>
        <w:rPr>
          <w:rFonts w:eastAsia="宋体" w:cs="Times New Roman"/>
        </w:rPr>
        <w:t>环境影响分析说明</w:t>
      </w:r>
      <w:bookmarkEnd w:id="15"/>
    </w:p>
    <w:p>
      <w:pPr>
        <w:pStyle w:val="3"/>
        <w:spacing w:before="0" w:beforeLines="0" w:after="0" w:afterLines="0"/>
        <w:ind w:left="210"/>
        <w:rPr>
          <w:rFonts w:eastAsia="宋体" w:cs="Times New Roman"/>
        </w:rPr>
      </w:pPr>
      <w:bookmarkStart w:id="16" w:name="_Toc150182768"/>
      <w:r>
        <w:rPr>
          <w:rFonts w:eastAsia="宋体" w:cs="Times New Roman"/>
        </w:rPr>
        <w:t>污染物排放达标可行性分析</w:t>
      </w:r>
      <w:bookmarkEnd w:id="16"/>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（1）废气</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ascii="Times New Roman" w:hAnsi="Times New Roman" w:eastAsia="宋体" w:cs="Times New Roman"/>
          <w:b/>
          <w:bCs/>
          <w:sz w:val="28"/>
          <w:szCs w:val="28"/>
        </w:rPr>
      </w:pPr>
      <w:r>
        <w:rPr>
          <w:rFonts w:hint="eastAsia" w:ascii="Times New Roman" w:hAnsi="Times New Roman" w:eastAsia="宋体" w:cs="Times New Roman"/>
          <w:b/>
          <w:bCs/>
          <w:sz w:val="28"/>
          <w:szCs w:val="28"/>
        </w:rPr>
        <w:t>现有项目废气核算：</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由于环评报告表批复时间较早，环评报告中并未对</w:t>
      </w:r>
      <w:r>
        <w:rPr>
          <w:rFonts w:hint="eastAsia" w:ascii="Times New Roman" w:hAnsi="Times New Roman" w:eastAsia="宋体" w:cs="Times New Roman"/>
          <w:sz w:val="28"/>
          <w:szCs w:val="28"/>
        </w:rPr>
        <w:t>①</w:t>
      </w:r>
      <w:r>
        <w:rPr>
          <w:rFonts w:ascii="Times New Roman" w:hAnsi="Times New Roman" w:eastAsia="宋体" w:cs="Times New Roman"/>
          <w:sz w:val="28"/>
          <w:szCs w:val="28"/>
        </w:rPr>
        <w:t>油品储罐卸车、存储、输转废气</w:t>
      </w:r>
      <w:r>
        <w:rPr>
          <w:rFonts w:hint="eastAsia" w:ascii="Times New Roman" w:hAnsi="Times New Roman" w:eastAsia="宋体" w:cs="Times New Roman"/>
          <w:sz w:val="28"/>
          <w:szCs w:val="28"/>
        </w:rPr>
        <w:t>；②</w:t>
      </w:r>
      <w:r>
        <w:rPr>
          <w:rFonts w:ascii="Times New Roman" w:hAnsi="Times New Roman" w:eastAsia="宋体" w:cs="Times New Roman"/>
          <w:sz w:val="28"/>
          <w:szCs w:val="28"/>
        </w:rPr>
        <w:t>燃烧产生的氮氧化物废气</w:t>
      </w:r>
      <w:r>
        <w:rPr>
          <w:rFonts w:hint="eastAsia" w:ascii="Times New Roman" w:hAnsi="Times New Roman" w:eastAsia="宋体" w:cs="Times New Roman"/>
          <w:sz w:val="28"/>
          <w:szCs w:val="28"/>
        </w:rPr>
        <w:t>、导热油炉供热锅炉和燃烧器燃烧废气分开分析；③</w:t>
      </w:r>
      <w:r>
        <w:rPr>
          <w:rFonts w:ascii="Times New Roman" w:hAnsi="Times New Roman" w:eastAsia="宋体" w:cs="Times New Roman"/>
          <w:sz w:val="28"/>
          <w:szCs w:val="28"/>
        </w:rPr>
        <w:t>沥青加热及搅拌中的非甲烷总废气</w:t>
      </w:r>
      <w:r>
        <w:rPr>
          <w:rFonts w:hint="eastAsia" w:ascii="Times New Roman" w:hAnsi="Times New Roman" w:eastAsia="宋体" w:cs="Times New Roman"/>
          <w:sz w:val="28"/>
          <w:szCs w:val="28"/>
        </w:rPr>
        <w:t>（只核算了沥青烟及苯并芘，未核算沥青烟气中含油的非甲烷总烃废气）</w:t>
      </w:r>
      <w:r>
        <w:rPr>
          <w:rFonts w:ascii="Times New Roman" w:hAnsi="Times New Roman" w:eastAsia="宋体" w:cs="Times New Roman"/>
          <w:sz w:val="28"/>
          <w:szCs w:val="28"/>
        </w:rPr>
        <w:t>及</w:t>
      </w:r>
      <w:r>
        <w:rPr>
          <w:rFonts w:hint="eastAsia" w:ascii="Times New Roman" w:hAnsi="Times New Roman" w:eastAsia="宋体" w:cs="Times New Roman"/>
          <w:sz w:val="28"/>
          <w:szCs w:val="28"/>
        </w:rPr>
        <w:t>④</w:t>
      </w:r>
      <w:r>
        <w:rPr>
          <w:rFonts w:ascii="Times New Roman" w:hAnsi="Times New Roman" w:eastAsia="宋体" w:cs="Times New Roman"/>
          <w:sz w:val="28"/>
          <w:szCs w:val="28"/>
        </w:rPr>
        <w:t>堆场无组织废气进行详细分析，本次变动对</w:t>
      </w:r>
      <w:r>
        <w:rPr>
          <w:rFonts w:hint="eastAsia" w:ascii="Times New Roman" w:hAnsi="Times New Roman" w:eastAsia="宋体" w:cs="Times New Roman"/>
          <w:sz w:val="28"/>
          <w:szCs w:val="28"/>
        </w:rPr>
        <w:t>①</w:t>
      </w:r>
      <w:r>
        <w:rPr>
          <w:rFonts w:ascii="Times New Roman" w:hAnsi="Times New Roman" w:eastAsia="宋体" w:cs="Times New Roman"/>
          <w:sz w:val="28"/>
          <w:szCs w:val="28"/>
        </w:rPr>
        <w:t>油品储罐卸车、存储、输转废气</w:t>
      </w:r>
      <w:r>
        <w:rPr>
          <w:rFonts w:hint="eastAsia" w:ascii="Times New Roman" w:hAnsi="Times New Roman" w:eastAsia="宋体" w:cs="Times New Roman"/>
          <w:sz w:val="28"/>
          <w:szCs w:val="28"/>
        </w:rPr>
        <w:t>；②</w:t>
      </w:r>
      <w:r>
        <w:rPr>
          <w:rFonts w:ascii="Times New Roman" w:hAnsi="Times New Roman" w:eastAsia="宋体" w:cs="Times New Roman"/>
          <w:sz w:val="28"/>
          <w:szCs w:val="28"/>
        </w:rPr>
        <w:t>堆场无组织废气</w:t>
      </w:r>
      <w:r>
        <w:rPr>
          <w:rFonts w:hint="eastAsia" w:ascii="Times New Roman" w:hAnsi="Times New Roman" w:eastAsia="宋体" w:cs="Times New Roman"/>
          <w:sz w:val="28"/>
          <w:szCs w:val="28"/>
        </w:rPr>
        <w:t>；③</w:t>
      </w:r>
      <w:r>
        <w:rPr>
          <w:rFonts w:ascii="Times New Roman" w:hAnsi="Times New Roman" w:eastAsia="宋体" w:cs="Times New Roman"/>
          <w:sz w:val="28"/>
          <w:szCs w:val="28"/>
        </w:rPr>
        <w:t>燃烧产生的氮氧化物废气</w:t>
      </w:r>
      <w:r>
        <w:rPr>
          <w:rFonts w:hint="eastAsia" w:ascii="Times New Roman" w:hAnsi="Times New Roman" w:eastAsia="宋体" w:cs="Times New Roman"/>
          <w:sz w:val="28"/>
          <w:szCs w:val="28"/>
        </w:rPr>
        <w:t>、导热油炉供热锅炉和燃烧器燃烧废气；④</w:t>
      </w:r>
      <w:r>
        <w:rPr>
          <w:rFonts w:ascii="Times New Roman" w:hAnsi="Times New Roman" w:eastAsia="宋体" w:cs="Times New Roman"/>
          <w:sz w:val="28"/>
          <w:szCs w:val="28"/>
        </w:rPr>
        <w:t>沥青加热及搅拌中的非甲烷总废气产生量及排放量进行定量补充核算。</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同时</w:t>
      </w:r>
      <w:r>
        <w:rPr>
          <w:rFonts w:hint="eastAsia" w:ascii="Times New Roman" w:hAnsi="Times New Roman" w:eastAsia="宋体" w:cs="Times New Roman"/>
          <w:sz w:val="28"/>
          <w:szCs w:val="28"/>
        </w:rPr>
        <w:t>因①</w:t>
      </w:r>
      <w:r>
        <w:rPr>
          <w:rFonts w:ascii="Times New Roman" w:hAnsi="Times New Roman" w:eastAsia="宋体" w:cs="Times New Roman"/>
          <w:sz w:val="28"/>
          <w:szCs w:val="32"/>
        </w:rPr>
        <w:t>《连云港天丰沥青有限公司</w:t>
      </w:r>
      <w:r>
        <w:rPr>
          <w:rFonts w:hint="eastAsia" w:ascii="Times New Roman" w:hAnsi="Times New Roman" w:eastAsia="宋体" w:cs="Times New Roman"/>
          <w:sz w:val="28"/>
          <w:szCs w:val="32"/>
        </w:rPr>
        <w:t>废气综</w:t>
      </w:r>
      <w:r>
        <w:rPr>
          <w:rFonts w:hint="eastAsia" w:ascii="Times New Roman" w:hAnsi="Times New Roman" w:eastAsia="宋体" w:cs="Times New Roman"/>
          <w:sz w:val="28"/>
          <w:szCs w:val="28"/>
        </w:rPr>
        <w:t>合整治技改项目》（2022年05月20日，202232070700000111）为登记表，废气处置措施由吸附法改为喷淋洗涤塔+等离子UV光氧一体机+活性炭吸附装置，废气处置措施处理效率提高，但登记表未对总量进行核算；②企业环评报告中中仅给出了沥青烟气的总量，并未给出详细的总量核算方法，故本次评价对沥青烟气进行了重新核算。</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lang w:bidi="ar"/>
        </w:rPr>
      </w:pPr>
      <w:r>
        <w:rPr>
          <w:rFonts w:ascii="Times New Roman" w:hAnsi="Times New Roman" w:eastAsia="宋体" w:cs="Times New Roman"/>
          <w:color w:val="000000"/>
          <w:kern w:val="0"/>
          <w:sz w:val="28"/>
          <w:szCs w:val="28"/>
          <w:lang w:bidi="ar"/>
        </w:rPr>
        <w:t>现有项目总量补充核算：</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lang w:bidi="ar"/>
        </w:rPr>
      </w:pPr>
      <w:r>
        <w:rPr>
          <w:rFonts w:ascii="Times New Roman" w:hAnsi="Times New Roman" w:eastAsia="宋体" w:cs="Times New Roman"/>
          <w:color w:val="000000"/>
          <w:kern w:val="0"/>
          <w:sz w:val="28"/>
          <w:szCs w:val="28"/>
          <w:lang w:bidi="ar"/>
        </w:rPr>
        <w:t>①</w:t>
      </w:r>
      <w:r>
        <w:rPr>
          <w:rFonts w:hint="eastAsia" w:ascii="Times New Roman" w:hAnsi="Times New Roman" w:eastAsia="宋体" w:cs="Times New Roman"/>
          <w:color w:val="000000"/>
          <w:kern w:val="0"/>
          <w:sz w:val="28"/>
          <w:szCs w:val="28"/>
          <w:lang w:bidi="ar"/>
        </w:rPr>
        <w:t>燃烧废气：</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lang w:bidi="ar"/>
        </w:rPr>
      </w:pPr>
      <w:r>
        <w:rPr>
          <w:rFonts w:hint="eastAsia" w:ascii="Times New Roman" w:hAnsi="Times New Roman" w:eastAsia="宋体" w:cs="Times New Roman"/>
          <w:color w:val="000000"/>
          <w:kern w:val="0"/>
          <w:sz w:val="28"/>
          <w:szCs w:val="28"/>
          <w:lang w:bidi="ar"/>
        </w:rPr>
        <w:t>氮氧化物：</w:t>
      </w:r>
      <w:r>
        <w:rPr>
          <w:rFonts w:ascii="Times New Roman" w:hAnsi="Times New Roman" w:eastAsia="宋体" w:cs="Times New Roman"/>
          <w:color w:val="000000"/>
          <w:kern w:val="0"/>
          <w:sz w:val="28"/>
          <w:szCs w:val="28"/>
          <w:lang w:bidi="ar"/>
        </w:rPr>
        <w:t>根据《第一次全国污染源普查工业污染源产排污系数手册（2010修订）》（下册）中“4430热力生产和供应行业（包括工业锅炉）”，氮氧化物量为：3.67千克/吨-原料，项目现有项目柴油使用量为300t/a，则氮氧化物产生量为1.101t/a</w:t>
      </w:r>
      <w:r>
        <w:rPr>
          <w:rFonts w:hint="eastAsia" w:ascii="Times New Roman" w:hAnsi="Times New Roman" w:eastAsia="宋体" w:cs="Times New Roman"/>
          <w:color w:val="000000"/>
          <w:kern w:val="0"/>
          <w:sz w:val="28"/>
          <w:szCs w:val="28"/>
          <w:lang w:bidi="ar"/>
        </w:rPr>
        <w:t>，企业已安装低氮燃烧器，氮氧化物去除效率按照40%计算，则锅炉经低氮燃烧后实际氮氧化物产生量为0.661</w:t>
      </w:r>
      <w:r>
        <w:rPr>
          <w:rFonts w:ascii="Times New Roman" w:hAnsi="Times New Roman" w:eastAsia="宋体" w:cs="Times New Roman"/>
          <w:color w:val="000000"/>
          <w:kern w:val="0"/>
          <w:sz w:val="28"/>
          <w:szCs w:val="28"/>
          <w:lang w:bidi="ar"/>
        </w:rPr>
        <w:t>t/a。</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lang w:bidi="ar"/>
        </w:rPr>
      </w:pPr>
      <w:r>
        <w:rPr>
          <w:rFonts w:hint="eastAsia" w:ascii="Times New Roman" w:hAnsi="Times New Roman" w:eastAsia="宋体" w:cs="Times New Roman"/>
          <w:color w:val="000000"/>
          <w:kern w:val="0"/>
          <w:sz w:val="28"/>
          <w:szCs w:val="28"/>
          <w:lang w:bidi="ar"/>
        </w:rPr>
        <w:t>根据企业提供的资料公司共使用柴油300t/a，其中导热油炉供热锅炉使用柴油120t/a，干燥机燃烧器柴油180t/a。则导热油炉供热锅炉燃烧废气产生量为：二氧化硫0.168t/a、氮氧化物0.264t/a、颗粒物0.048t/a，干燥机燃烧器燃烧废气产生量为：二氧化硫0.312t/a、氮氧化物0.397t/a、颗粒物0.072t/a。</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lang w:bidi="ar"/>
        </w:rPr>
      </w:pPr>
      <w:r>
        <w:rPr>
          <w:rFonts w:ascii="Times New Roman" w:hAnsi="Times New Roman" w:eastAsia="宋体" w:cs="Times New Roman"/>
          <w:color w:val="000000"/>
          <w:kern w:val="0"/>
          <w:sz w:val="28"/>
          <w:szCs w:val="28"/>
          <w:lang w:bidi="ar"/>
        </w:rPr>
        <w:t>②</w:t>
      </w:r>
      <w:r>
        <w:rPr>
          <w:rFonts w:hint="eastAsia" w:ascii="Times New Roman" w:hAnsi="Times New Roman" w:eastAsia="宋体" w:cs="Times New Roman"/>
          <w:color w:val="000000"/>
          <w:kern w:val="0"/>
          <w:sz w:val="28"/>
          <w:szCs w:val="28"/>
          <w:lang w:bidi="ar"/>
        </w:rPr>
        <w:t>沥青烟气（</w:t>
      </w:r>
      <w:r>
        <w:rPr>
          <w:rFonts w:ascii="Times New Roman" w:hAnsi="Times New Roman" w:eastAsia="宋体" w:cs="Times New Roman"/>
          <w:color w:val="000000"/>
          <w:kern w:val="0"/>
          <w:sz w:val="28"/>
          <w:szCs w:val="28"/>
        </w:rPr>
        <w:t>沥青卸料、储存</w:t>
      </w:r>
      <w:r>
        <w:rPr>
          <w:rFonts w:hint="eastAsia" w:ascii="Times New Roman" w:hAnsi="Times New Roman" w:eastAsia="宋体" w:cs="Times New Roman"/>
          <w:color w:val="000000"/>
          <w:kern w:val="0"/>
          <w:sz w:val="28"/>
          <w:szCs w:val="28"/>
        </w:rPr>
        <w:t>、输送</w:t>
      </w:r>
      <w:r>
        <w:rPr>
          <w:rFonts w:ascii="Times New Roman" w:hAnsi="Times New Roman" w:eastAsia="宋体" w:cs="Times New Roman"/>
          <w:color w:val="000000"/>
          <w:kern w:val="0"/>
          <w:sz w:val="28"/>
          <w:szCs w:val="28"/>
        </w:rPr>
        <w:t>加热</w:t>
      </w:r>
      <w:r>
        <w:rPr>
          <w:rFonts w:hint="eastAsia" w:ascii="Times New Roman" w:hAnsi="Times New Roman" w:eastAsia="宋体" w:cs="Times New Roman"/>
          <w:color w:val="000000"/>
          <w:kern w:val="0"/>
          <w:sz w:val="28"/>
          <w:szCs w:val="28"/>
        </w:rPr>
        <w:t>废气</w:t>
      </w:r>
      <w:r>
        <w:rPr>
          <w:rFonts w:ascii="Times New Roman" w:hAnsi="Times New Roman" w:eastAsia="宋体" w:cs="Times New Roman"/>
          <w:color w:val="000000"/>
          <w:kern w:val="0"/>
          <w:sz w:val="28"/>
          <w:szCs w:val="28"/>
        </w:rPr>
        <w:t>、拌合废气</w:t>
      </w:r>
      <w:r>
        <w:rPr>
          <w:rFonts w:hint="eastAsia" w:ascii="Times New Roman" w:hAnsi="Times New Roman" w:eastAsia="宋体" w:cs="Times New Roman"/>
          <w:color w:val="000000"/>
          <w:kern w:val="0"/>
          <w:sz w:val="28"/>
          <w:szCs w:val="28"/>
          <w:lang w:bidi="ar"/>
        </w:rPr>
        <w:t>）</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lang w:bidi="ar"/>
        </w:rPr>
        <w:t xml:space="preserve"> </w:t>
      </w:r>
      <w:r>
        <w:rPr>
          <w:rFonts w:ascii="Times New Roman" w:hAnsi="Times New Roman" w:eastAsia="宋体" w:cs="Times New Roman"/>
          <w:color w:val="000000"/>
          <w:kern w:val="0"/>
          <w:sz w:val="28"/>
          <w:szCs w:val="28"/>
        </w:rPr>
        <w:t>运输车辆将沥青卸料输入沥青罐以及生产过程中使用导热油对沥青罐中沥青进行加热时，会有少量沥青废气随着呼吸孔以气态形式逸出进入大气环境。项目拟在沥青卸油罐、沥青罐上方安装负压管道，收集的废气通过喷淋洗涤塔+等离子UV光氧一体机+活性炭吸附装置处理后，尾气通过15m高排气筒DA003排放；</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参考《工业生产中的有害物质手册》第一卷（化学工业出版社，1987年12月出版）及《有机化合物污染化学》（清华大学出版社，1990年8月出版），每吨石油沥青在加热过程中可产生562.5g沥青烟气，项目沥青消耗量约为8000吨，则项目沥青烟产生量为4.5t/a，3.125kg/h。</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同时根据《</w:t>
      </w:r>
      <w:r>
        <w:rPr>
          <w:rFonts w:ascii="Times New Roman" w:hAnsi="Times New Roman" w:eastAsia="宋体" w:cs="Times New Roman"/>
          <w:sz w:val="28"/>
          <w:szCs w:val="28"/>
        </w:rPr>
        <w:t>连云港天丰沥青有限公司沥青搅和生产线项目报告表</w:t>
      </w:r>
      <w:r>
        <w:rPr>
          <w:rFonts w:ascii="Times New Roman" w:hAnsi="Times New Roman" w:eastAsia="宋体" w:cs="Times New Roman"/>
          <w:color w:val="000000"/>
          <w:kern w:val="0"/>
          <w:sz w:val="28"/>
          <w:szCs w:val="28"/>
        </w:rPr>
        <w:t>》项目产生苯并[a]芘气体约为0.0002t/a。</w:t>
      </w:r>
    </w:p>
    <w:p>
      <w:pPr>
        <w:keepNext w:val="0"/>
        <w:keepLines w:val="0"/>
        <w:pageBreakBefore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根据《沥青烟气净化研究》（李昌建等，全国恶臭污染测试与控制研讨会，2005），沥青烟气和沥青组分近似，有机废气非甲烷总烃按沥青烟的70%计，约为3.15t/a、2.188kg/h。</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③油品储罐卸车、存储、输转产生的非甲烷总烃</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根据《散装液态石油产品损耗》（GB11085-89）本项目属于该标准中的A类地区，油罐卸油时损耗率为0.05%，油罐贮存时损耗率为0.01%，油品输转时损耗率为0.01%，则合计损耗率为0.07%。本项目柴油及导热油最大使用量为500t/a，则油品储罐卸车、存储、输转产生的非甲烷总烃为0.35t/a。</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④</w:t>
      </w:r>
      <w:r>
        <w:rPr>
          <w:rFonts w:hint="eastAsia" w:ascii="Times New Roman" w:hAnsi="Times New Roman" w:eastAsia="宋体" w:cs="Times New Roman"/>
          <w:sz w:val="28"/>
          <w:szCs w:val="28"/>
        </w:rPr>
        <w:t>堆场</w:t>
      </w:r>
      <w:r>
        <w:rPr>
          <w:rFonts w:ascii="Times New Roman" w:hAnsi="Times New Roman" w:eastAsia="宋体" w:cs="Times New Roman"/>
          <w:sz w:val="28"/>
          <w:szCs w:val="28"/>
        </w:rPr>
        <w:t>粉尘</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 xml:space="preserve">黄沙、石子通过密闭车厢卸至封闭式料库内，料库内配备雾化喷淋设施。评价主要考虑黄沙、石子卸料过程中产生的粉尘废气。 </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参照《逸散性工业粉尘控制技术》（中国环境科学出版社）中“粒料加工厂逸散尘的排放因子”，砂和砾石卸料（卡车）排放系数取0.01kg/t。项目黄沙、碎石装卸量约240000t/a，预计产生装卸粉尘2.4t/a。</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仓库堆场上方设置雾化喷淋装置，卸料过程中进行喷雾降尘，同时车间的阻拦作用，仓库装卸扬尘综合抑制效率可达95%，仓库装卸无组织粉尘排放量约为0.12t/a。</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sz w:val="28"/>
          <w:szCs w:val="28"/>
        </w:rPr>
      </w:pPr>
      <w:r>
        <w:rPr>
          <w:rFonts w:ascii="Times New Roman" w:hAnsi="Times New Roman" w:eastAsia="宋体" w:cs="Times New Roman"/>
          <w:b/>
          <w:sz w:val="28"/>
          <w:szCs w:val="28"/>
        </w:rPr>
        <w:t>表3.1-</w:t>
      </w:r>
      <w:r>
        <w:rPr>
          <w:rFonts w:hint="eastAsia" w:ascii="Times New Roman" w:hAnsi="Times New Roman" w:eastAsia="宋体" w:cs="Times New Roman"/>
          <w:b/>
          <w:sz w:val="28"/>
          <w:szCs w:val="28"/>
        </w:rPr>
        <w:t>1</w:t>
      </w:r>
      <w:r>
        <w:rPr>
          <w:rFonts w:ascii="Times New Roman" w:hAnsi="Times New Roman" w:eastAsia="宋体" w:cs="Times New Roman"/>
          <w:b/>
          <w:sz w:val="28"/>
          <w:szCs w:val="28"/>
        </w:rPr>
        <w:t xml:space="preserve"> 现有工程</w:t>
      </w:r>
      <w:r>
        <w:rPr>
          <w:rFonts w:hint="eastAsia" w:ascii="Times New Roman" w:hAnsi="Times New Roman" w:eastAsia="宋体" w:cs="Times New Roman"/>
          <w:b/>
          <w:sz w:val="28"/>
          <w:szCs w:val="28"/>
        </w:rPr>
        <w:t>实际</w:t>
      </w:r>
      <w:r>
        <w:rPr>
          <w:rFonts w:ascii="Times New Roman" w:hAnsi="Times New Roman" w:eastAsia="宋体" w:cs="Times New Roman"/>
          <w:b/>
          <w:sz w:val="28"/>
          <w:szCs w:val="28"/>
        </w:rPr>
        <w:t>污染物排放量</w:t>
      </w:r>
      <w:r>
        <w:rPr>
          <w:rFonts w:hint="eastAsia" w:ascii="Times New Roman" w:hAnsi="Times New Roman" w:eastAsia="宋体" w:cs="Times New Roman"/>
          <w:b/>
          <w:sz w:val="28"/>
          <w:szCs w:val="28"/>
        </w:rPr>
        <w:t>与</w:t>
      </w:r>
      <w:r>
        <w:rPr>
          <w:rFonts w:ascii="Times New Roman" w:hAnsi="Times New Roman" w:eastAsia="宋体" w:cs="Times New Roman"/>
          <w:b/>
          <w:sz w:val="28"/>
          <w:szCs w:val="28"/>
        </w:rPr>
        <w:t>环评污染物排放量</w:t>
      </w:r>
      <w:r>
        <w:rPr>
          <w:rFonts w:hint="eastAsia" w:ascii="Times New Roman" w:hAnsi="Times New Roman" w:eastAsia="宋体" w:cs="Times New Roman"/>
          <w:b/>
          <w:sz w:val="28"/>
          <w:szCs w:val="28"/>
        </w:rPr>
        <w:t>对比</w:t>
      </w:r>
      <w:r>
        <w:rPr>
          <w:rFonts w:ascii="Times New Roman" w:hAnsi="Times New Roman" w:eastAsia="宋体" w:cs="Times New Roman"/>
          <w:b/>
          <w:sz w:val="28"/>
          <w:szCs w:val="28"/>
        </w:rPr>
        <w:t>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718"/>
        <w:gridCol w:w="749"/>
        <w:gridCol w:w="967"/>
        <w:gridCol w:w="899"/>
        <w:gridCol w:w="791"/>
        <w:gridCol w:w="785"/>
        <w:gridCol w:w="734"/>
        <w:gridCol w:w="700"/>
        <w:gridCol w:w="913"/>
        <w:gridCol w:w="921"/>
        <w:gridCol w:w="921"/>
        <w:gridCol w:w="899"/>
        <w:gridCol w:w="723"/>
        <w:gridCol w:w="1018"/>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3" w:type="pct"/>
            <w:gridSpan w:val="7"/>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已通过环评、验收的排放状况</w:t>
            </w:r>
          </w:p>
        </w:tc>
        <w:tc>
          <w:tcPr>
            <w:tcW w:w="2409" w:type="pct"/>
            <w:gridSpan w:val="8"/>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实际建设的排放状况</w:t>
            </w:r>
          </w:p>
        </w:tc>
        <w:tc>
          <w:tcPr>
            <w:tcW w:w="597"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62"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排放口编号</w:t>
            </w:r>
          </w:p>
        </w:tc>
        <w:tc>
          <w:tcPr>
            <w:tcW w:w="517" w:type="pct"/>
            <w:gridSpan w:val="2"/>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污染源名称</w:t>
            </w:r>
          </w:p>
        </w:tc>
        <w:tc>
          <w:tcPr>
            <w:tcW w:w="3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排放浓度</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排放速率</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(kg/h)</w:t>
            </w:r>
          </w:p>
        </w:tc>
        <w:tc>
          <w:tcPr>
            <w:tcW w:w="27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(t/a)</w:t>
            </w:r>
          </w:p>
        </w:tc>
        <w:tc>
          <w:tcPr>
            <w:tcW w:w="27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排放规律</w:t>
            </w:r>
          </w:p>
        </w:tc>
        <w:tc>
          <w:tcPr>
            <w:tcW w:w="259"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排放口编号</w:t>
            </w:r>
          </w:p>
        </w:tc>
        <w:tc>
          <w:tcPr>
            <w:tcW w:w="568" w:type="pct"/>
            <w:gridSpan w:val="2"/>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污染源名称</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排放浓度</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排放速率</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(kg/h)</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(t/a)</w:t>
            </w:r>
          </w:p>
        </w:tc>
        <w:tc>
          <w:tcPr>
            <w:tcW w:w="25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排放规律</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排放标准</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c>
          <w:tcPr>
            <w:tcW w:w="597"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 w:type="pct"/>
            <w:vMerge w:val="restar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bCs/>
                <w:sz w:val="21"/>
                <w:szCs w:val="21"/>
              </w:rPr>
              <w:t>DA001</w:t>
            </w:r>
          </w:p>
        </w:tc>
        <w:tc>
          <w:tcPr>
            <w:tcW w:w="252"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导热油炉</w:t>
            </w: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烟（粉）尘</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 xml:space="preserve">60.00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r>
              <w:rPr>
                <w:rFonts w:ascii="Times New Roman" w:hAnsi="Times New Roman" w:eastAsia="宋体" w:cs="Times New Roman"/>
                <w:kern w:val="0"/>
                <w:sz w:val="21"/>
                <w:szCs w:val="21"/>
                <w:lang w:bidi="ar"/>
              </w:rPr>
              <w:t xml:space="preserve">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0.12</w:t>
            </w:r>
          </w:p>
        </w:tc>
        <w:tc>
          <w:tcPr>
            <w:tcW w:w="276" w:type="pct"/>
            <w:vMerge w:val="restar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间歇排放</w:t>
            </w:r>
            <w:r>
              <w:rPr>
                <w:rFonts w:hint="eastAsia" w:ascii="Times New Roman" w:hAnsi="Times New Roman" w:eastAsia="宋体" w:cs="Times New Roman"/>
                <w:kern w:val="0"/>
                <w:sz w:val="21"/>
                <w:szCs w:val="21"/>
                <w:lang w:bidi="ar"/>
              </w:rPr>
              <w:t>1440</w:t>
            </w:r>
            <w:r>
              <w:rPr>
                <w:rFonts w:ascii="Times New Roman" w:hAnsi="Times New Roman" w:eastAsia="宋体" w:cs="Times New Roman"/>
                <w:kern w:val="0"/>
                <w:sz w:val="21"/>
                <w:szCs w:val="21"/>
                <w:lang w:bidi="ar"/>
              </w:rPr>
              <w:t>h/a</w:t>
            </w:r>
          </w:p>
        </w:tc>
        <w:tc>
          <w:tcPr>
            <w:tcW w:w="259" w:type="pct"/>
            <w:vMerge w:val="restar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DA001</w:t>
            </w:r>
          </w:p>
        </w:tc>
        <w:tc>
          <w:tcPr>
            <w:tcW w:w="246"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导热油炉</w:t>
            </w: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烟（粉）尘</w:t>
            </w:r>
          </w:p>
        </w:tc>
        <w:tc>
          <w:tcPr>
            <w:tcW w:w="924" w:type="dxa"/>
            <w:vAlign w:val="center"/>
          </w:tcPr>
          <w:p>
            <w:pPr>
              <w:widowControl/>
              <w:jc w:val="center"/>
              <w:textAlignment w:val="center"/>
              <w:rPr>
                <w:rFonts w:ascii="Times New Roman" w:hAnsi="Times New Roman" w:eastAsia="宋体" w:cs="Times New Roman"/>
                <w:sz w:val="21"/>
                <w:szCs w:val="21"/>
                <w:highlight w:val="magenta"/>
              </w:rPr>
            </w:pPr>
            <w:r>
              <w:rPr>
                <w:rFonts w:ascii="Times New Roman" w:hAnsi="Times New Roman" w:eastAsia="宋体" w:cs="Times New Roman"/>
                <w:color w:val="000000"/>
                <w:kern w:val="0"/>
                <w:sz w:val="21"/>
                <w:szCs w:val="21"/>
                <w:lang w:bidi="ar"/>
              </w:rPr>
              <w:t xml:space="preserve">8.33 </w:t>
            </w:r>
          </w:p>
        </w:tc>
        <w:tc>
          <w:tcPr>
            <w:tcW w:w="924" w:type="dxa"/>
            <w:vAlign w:val="center"/>
          </w:tcPr>
          <w:p>
            <w:pPr>
              <w:widowControl/>
              <w:jc w:val="center"/>
              <w:textAlignment w:val="center"/>
              <w:rPr>
                <w:rFonts w:ascii="Times New Roman" w:hAnsi="Times New Roman" w:eastAsia="宋体" w:cs="Times New Roman"/>
                <w:sz w:val="21"/>
                <w:szCs w:val="21"/>
                <w:highlight w:val="magenta"/>
              </w:rPr>
            </w:pPr>
            <w:r>
              <w:rPr>
                <w:rFonts w:ascii="Times New Roman" w:hAnsi="Times New Roman" w:eastAsia="宋体" w:cs="Times New Roman"/>
                <w:color w:val="000000"/>
                <w:kern w:val="0"/>
                <w:sz w:val="21"/>
                <w:szCs w:val="21"/>
                <w:lang w:bidi="ar"/>
              </w:rPr>
              <w:t xml:space="preserve">0.0333 </w:t>
            </w:r>
          </w:p>
        </w:tc>
        <w:tc>
          <w:tcPr>
            <w:tcW w:w="899" w:type="dxa"/>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0.048</w:t>
            </w:r>
          </w:p>
        </w:tc>
        <w:tc>
          <w:tcPr>
            <w:tcW w:w="255" w:type="pct"/>
            <w:vMerge w:val="restar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597" w:type="pct"/>
            <w:vMerge w:val="restart"/>
            <w:shd w:val="clear" w:color="auto" w:fill="auto"/>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排放量减少，因与燃烧器分开计算，全厂总量不变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 w:type="pct"/>
            <w:vMerge w:val="continue"/>
            <w:vAlign w:val="center"/>
          </w:tcPr>
          <w:p>
            <w:pPr>
              <w:spacing w:line="240" w:lineRule="exact"/>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 xml:space="preserve">240.00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r>
              <w:rPr>
                <w:rFonts w:ascii="Times New Roman" w:hAnsi="Times New Roman" w:eastAsia="宋体" w:cs="Times New Roman"/>
                <w:kern w:val="0"/>
                <w:sz w:val="21"/>
                <w:szCs w:val="21"/>
                <w:lang w:bidi="ar"/>
              </w:rPr>
              <w:t xml:space="preserve">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0.48</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spacing w:line="240" w:lineRule="exact"/>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924" w:type="dxa"/>
            <w:vAlign w:val="center"/>
          </w:tcPr>
          <w:p>
            <w:pPr>
              <w:widowControl/>
              <w:jc w:val="center"/>
              <w:textAlignment w:val="center"/>
              <w:rPr>
                <w:rFonts w:ascii="Times New Roman" w:hAnsi="Times New Roman" w:eastAsia="宋体" w:cs="Times New Roman"/>
                <w:sz w:val="21"/>
                <w:szCs w:val="21"/>
                <w:highlight w:val="magenta"/>
              </w:rPr>
            </w:pPr>
            <w:r>
              <w:rPr>
                <w:rFonts w:ascii="Times New Roman" w:hAnsi="Times New Roman" w:eastAsia="宋体" w:cs="Times New Roman"/>
                <w:color w:val="000000"/>
                <w:kern w:val="0"/>
                <w:sz w:val="21"/>
                <w:szCs w:val="21"/>
                <w:lang w:bidi="ar"/>
              </w:rPr>
              <w:t xml:space="preserve">29.17 </w:t>
            </w:r>
          </w:p>
        </w:tc>
        <w:tc>
          <w:tcPr>
            <w:tcW w:w="924" w:type="dxa"/>
            <w:vAlign w:val="center"/>
          </w:tcPr>
          <w:p>
            <w:pPr>
              <w:widowControl/>
              <w:jc w:val="center"/>
              <w:textAlignment w:val="center"/>
              <w:rPr>
                <w:rFonts w:ascii="Times New Roman" w:hAnsi="Times New Roman" w:eastAsia="宋体" w:cs="Times New Roman"/>
                <w:sz w:val="21"/>
                <w:szCs w:val="21"/>
                <w:highlight w:val="magenta"/>
              </w:rPr>
            </w:pPr>
            <w:r>
              <w:rPr>
                <w:rFonts w:ascii="Times New Roman" w:hAnsi="Times New Roman" w:eastAsia="宋体" w:cs="Times New Roman"/>
                <w:color w:val="000000"/>
                <w:kern w:val="0"/>
                <w:sz w:val="21"/>
                <w:szCs w:val="21"/>
                <w:lang w:bidi="ar"/>
              </w:rPr>
              <w:t xml:space="preserve">0.1167 </w:t>
            </w:r>
          </w:p>
        </w:tc>
        <w:tc>
          <w:tcPr>
            <w:tcW w:w="899" w:type="dxa"/>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0.168</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35</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 w:type="pct"/>
            <w:vMerge w:val="continue"/>
            <w:vAlign w:val="center"/>
          </w:tcPr>
          <w:p>
            <w:pPr>
              <w:spacing w:line="240" w:lineRule="exact"/>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NOx</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spacing w:line="240" w:lineRule="exact"/>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NOx</w:t>
            </w:r>
          </w:p>
        </w:tc>
        <w:tc>
          <w:tcPr>
            <w:tcW w:w="924" w:type="dxa"/>
            <w:vAlign w:val="center"/>
          </w:tcPr>
          <w:p>
            <w:pPr>
              <w:widowControl/>
              <w:jc w:val="center"/>
              <w:textAlignment w:val="center"/>
              <w:rPr>
                <w:rFonts w:ascii="Times New Roman" w:hAnsi="Times New Roman" w:eastAsia="宋体" w:cs="Times New Roman"/>
                <w:sz w:val="21"/>
                <w:szCs w:val="21"/>
                <w:highlight w:val="magenta"/>
              </w:rPr>
            </w:pPr>
            <w:r>
              <w:rPr>
                <w:rFonts w:ascii="Times New Roman" w:hAnsi="Times New Roman" w:eastAsia="宋体" w:cs="Times New Roman"/>
                <w:color w:val="000000"/>
                <w:kern w:val="0"/>
                <w:sz w:val="21"/>
                <w:szCs w:val="21"/>
                <w:lang w:bidi="ar"/>
              </w:rPr>
              <w:t xml:space="preserve">45.83 </w:t>
            </w:r>
          </w:p>
        </w:tc>
        <w:tc>
          <w:tcPr>
            <w:tcW w:w="924" w:type="dxa"/>
            <w:vAlign w:val="center"/>
          </w:tcPr>
          <w:p>
            <w:pPr>
              <w:widowControl/>
              <w:jc w:val="center"/>
              <w:textAlignment w:val="center"/>
              <w:rPr>
                <w:rFonts w:ascii="Times New Roman" w:hAnsi="Times New Roman" w:eastAsia="宋体" w:cs="Times New Roman"/>
                <w:sz w:val="21"/>
                <w:szCs w:val="21"/>
                <w:highlight w:val="magenta"/>
              </w:rPr>
            </w:pPr>
            <w:r>
              <w:rPr>
                <w:rFonts w:ascii="Times New Roman" w:hAnsi="Times New Roman" w:eastAsia="宋体" w:cs="Times New Roman"/>
                <w:color w:val="000000"/>
                <w:kern w:val="0"/>
                <w:sz w:val="21"/>
                <w:szCs w:val="21"/>
                <w:lang w:bidi="ar"/>
              </w:rPr>
              <w:t xml:space="preserve">0.1833 </w:t>
            </w:r>
          </w:p>
        </w:tc>
        <w:tc>
          <w:tcPr>
            <w:tcW w:w="899" w:type="dxa"/>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0.264</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DA002</w:t>
            </w:r>
          </w:p>
        </w:tc>
        <w:tc>
          <w:tcPr>
            <w:tcW w:w="252"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加热器、干燥机、配料机</w:t>
            </w: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烟（粉）尘</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34.5</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r>
              <w:rPr>
                <w:rFonts w:ascii="Times New Roman" w:hAnsi="Times New Roman" w:eastAsia="宋体" w:cs="Times New Roman"/>
                <w:kern w:val="0"/>
                <w:sz w:val="21"/>
                <w:szCs w:val="21"/>
                <w:lang w:bidi="ar"/>
              </w:rPr>
              <w:t xml:space="preserve">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3.45</w:t>
            </w:r>
          </w:p>
        </w:tc>
        <w:tc>
          <w:tcPr>
            <w:tcW w:w="276"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259"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DA002</w:t>
            </w:r>
          </w:p>
        </w:tc>
        <w:tc>
          <w:tcPr>
            <w:tcW w:w="246"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加热器、干燥机、配料机</w:t>
            </w: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烟（粉）尘</w:t>
            </w:r>
          </w:p>
        </w:tc>
        <w:tc>
          <w:tcPr>
            <w:tcW w:w="924" w:type="dxa"/>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17.47 </w:t>
            </w:r>
          </w:p>
        </w:tc>
        <w:tc>
          <w:tcPr>
            <w:tcW w:w="924" w:type="dxa"/>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2.4458 </w:t>
            </w:r>
          </w:p>
        </w:tc>
        <w:tc>
          <w:tcPr>
            <w:tcW w:w="899" w:type="dxa"/>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3.522</w:t>
            </w:r>
          </w:p>
        </w:tc>
        <w:tc>
          <w:tcPr>
            <w:tcW w:w="255" w:type="pct"/>
            <w:vMerge w:val="restar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597" w:type="pct"/>
            <w:vMerge w:val="restart"/>
            <w:shd w:val="clear" w:color="auto" w:fill="auto"/>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排放量增加，因之前全部合计在导热油炉废气中，全厂总量不变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924" w:type="dxa"/>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1.55 </w:t>
            </w:r>
          </w:p>
        </w:tc>
        <w:tc>
          <w:tcPr>
            <w:tcW w:w="924" w:type="dxa"/>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0.2167 </w:t>
            </w:r>
          </w:p>
        </w:tc>
        <w:tc>
          <w:tcPr>
            <w:tcW w:w="899" w:type="dxa"/>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0.312</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NOx</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NOx</w:t>
            </w:r>
          </w:p>
        </w:tc>
        <w:tc>
          <w:tcPr>
            <w:tcW w:w="924" w:type="dxa"/>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1.97 </w:t>
            </w:r>
          </w:p>
        </w:tc>
        <w:tc>
          <w:tcPr>
            <w:tcW w:w="924" w:type="dxa"/>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0.2757 </w:t>
            </w:r>
          </w:p>
        </w:tc>
        <w:tc>
          <w:tcPr>
            <w:tcW w:w="899" w:type="dxa"/>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0.397</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180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DA003</w:t>
            </w:r>
          </w:p>
        </w:tc>
        <w:tc>
          <w:tcPr>
            <w:tcW w:w="252" w:type="pct"/>
            <w:vMerge w:val="restar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沥青卸料、储存</w:t>
            </w:r>
            <w:r>
              <w:rPr>
                <w:rFonts w:hint="eastAsia" w:ascii="Times New Roman" w:hAnsi="Times New Roman" w:eastAsia="宋体" w:cs="Times New Roman"/>
                <w:kern w:val="0"/>
                <w:sz w:val="21"/>
                <w:szCs w:val="21"/>
              </w:rPr>
              <w:t>、输送</w:t>
            </w:r>
            <w:r>
              <w:rPr>
                <w:rFonts w:ascii="Times New Roman" w:hAnsi="Times New Roman" w:eastAsia="宋体" w:cs="Times New Roman"/>
                <w:kern w:val="0"/>
                <w:sz w:val="21"/>
                <w:szCs w:val="21"/>
              </w:rPr>
              <w:t>加热</w:t>
            </w:r>
            <w:r>
              <w:rPr>
                <w:rFonts w:hint="eastAsia" w:ascii="Times New Roman" w:hAnsi="Times New Roman" w:eastAsia="宋体" w:cs="Times New Roman"/>
                <w:kern w:val="0"/>
                <w:sz w:val="21"/>
                <w:szCs w:val="21"/>
              </w:rPr>
              <w:t>废气</w:t>
            </w:r>
            <w:r>
              <w:rPr>
                <w:rFonts w:ascii="Times New Roman" w:hAnsi="Times New Roman" w:eastAsia="宋体" w:cs="Times New Roman"/>
                <w:kern w:val="0"/>
                <w:sz w:val="21"/>
                <w:szCs w:val="21"/>
              </w:rPr>
              <w:t>、拌合废气</w:t>
            </w: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沥青烟</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75</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r>
              <w:rPr>
                <w:rFonts w:ascii="Times New Roman" w:hAnsi="Times New Roman" w:eastAsia="宋体" w:cs="Times New Roman"/>
                <w:kern w:val="0"/>
                <w:sz w:val="21"/>
                <w:szCs w:val="21"/>
                <w:lang w:bidi="ar"/>
              </w:rPr>
              <w:t xml:space="preserve">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7.5</w:t>
            </w:r>
          </w:p>
        </w:tc>
        <w:tc>
          <w:tcPr>
            <w:tcW w:w="276"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259"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DA003</w:t>
            </w:r>
          </w:p>
        </w:tc>
        <w:tc>
          <w:tcPr>
            <w:tcW w:w="246" w:type="pct"/>
            <w:vMerge w:val="restar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沥青卸料、储存</w:t>
            </w:r>
            <w:r>
              <w:rPr>
                <w:rFonts w:hint="eastAsia" w:ascii="Times New Roman" w:hAnsi="Times New Roman" w:eastAsia="宋体" w:cs="Times New Roman"/>
                <w:kern w:val="0"/>
                <w:sz w:val="21"/>
                <w:szCs w:val="21"/>
              </w:rPr>
              <w:t>、输送</w:t>
            </w:r>
            <w:r>
              <w:rPr>
                <w:rFonts w:ascii="Times New Roman" w:hAnsi="Times New Roman" w:eastAsia="宋体" w:cs="Times New Roman"/>
                <w:kern w:val="0"/>
                <w:sz w:val="21"/>
                <w:szCs w:val="21"/>
              </w:rPr>
              <w:t>加热</w:t>
            </w:r>
            <w:r>
              <w:rPr>
                <w:rFonts w:hint="eastAsia" w:ascii="Times New Roman" w:hAnsi="Times New Roman" w:eastAsia="宋体" w:cs="Times New Roman"/>
                <w:kern w:val="0"/>
                <w:sz w:val="21"/>
                <w:szCs w:val="21"/>
              </w:rPr>
              <w:t>废气</w:t>
            </w:r>
            <w:r>
              <w:rPr>
                <w:rFonts w:ascii="Times New Roman" w:hAnsi="Times New Roman" w:eastAsia="宋体" w:cs="Times New Roman"/>
                <w:kern w:val="0"/>
                <w:sz w:val="21"/>
                <w:szCs w:val="21"/>
              </w:rPr>
              <w:t>、拌合废气</w:t>
            </w: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沥青烟</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5.21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0.16 </w:t>
            </w:r>
          </w:p>
        </w:tc>
        <w:tc>
          <w:tcPr>
            <w:tcW w:w="31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0.23 </w:t>
            </w:r>
          </w:p>
        </w:tc>
        <w:tc>
          <w:tcPr>
            <w:tcW w:w="255"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5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排放量减少，因计算方法更新及处置措施增加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spacing w:line="240" w:lineRule="exact"/>
              <w:jc w:val="center"/>
              <w:rPr>
                <w:rFonts w:ascii="Times New Roman" w:hAnsi="Times New Roman" w:eastAsia="宋体" w:cs="Times New Roman"/>
                <w:kern w:val="0"/>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苯并芘</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0.0003</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0.00003</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spacing w:line="240" w:lineRule="exact"/>
              <w:jc w:val="center"/>
              <w:rPr>
                <w:rFonts w:ascii="Times New Roman" w:hAnsi="Times New Roman" w:eastAsia="宋体" w:cs="Times New Roman"/>
                <w:kern w:val="0"/>
                <w:sz w:val="21"/>
                <w:szCs w:val="21"/>
              </w:rPr>
            </w:pP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苯并芘</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0.00023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0.00001 </w:t>
            </w:r>
          </w:p>
        </w:tc>
        <w:tc>
          <w:tcPr>
            <w:tcW w:w="31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0.00001 </w:t>
            </w:r>
          </w:p>
        </w:tc>
        <w:tc>
          <w:tcPr>
            <w:tcW w:w="255" w:type="pct"/>
            <w:vMerge w:val="continue"/>
            <w:vAlign w:val="center"/>
          </w:tcPr>
          <w:p>
            <w:pPr>
              <w:contextualSpacing/>
              <w:jc w:val="center"/>
              <w:rPr>
                <w:rFonts w:ascii="Times New Roman" w:hAnsi="Times New Roman" w:eastAsia="宋体" w:cs="Times New Roman"/>
                <w:sz w:val="21"/>
                <w:szCs w:val="21"/>
              </w:rPr>
            </w:pP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0.0003</w:t>
            </w:r>
          </w:p>
        </w:tc>
        <w:tc>
          <w:tcPr>
            <w:tcW w:w="5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排放量减少，因处置措施增加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widowControl/>
              <w:contextualSpacing/>
              <w:jc w:val="center"/>
              <w:rPr>
                <w:rFonts w:ascii="Times New Roman" w:hAnsi="Times New Roman" w:eastAsia="宋体" w:cs="Times New Roman"/>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非甲烷总烃</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非甲烷总烃</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3.65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0.11 </w:t>
            </w:r>
          </w:p>
        </w:tc>
        <w:tc>
          <w:tcPr>
            <w:tcW w:w="31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0.16 </w:t>
            </w:r>
          </w:p>
        </w:tc>
        <w:tc>
          <w:tcPr>
            <w:tcW w:w="255" w:type="pct"/>
            <w:vMerge w:val="continue"/>
            <w:vAlign w:val="center"/>
          </w:tcPr>
          <w:p>
            <w:pPr>
              <w:contextualSpacing/>
              <w:jc w:val="center"/>
              <w:rPr>
                <w:rFonts w:ascii="Times New Roman" w:hAnsi="Times New Roman" w:eastAsia="宋体" w:cs="Times New Roman"/>
                <w:sz w:val="21"/>
                <w:szCs w:val="21"/>
              </w:rPr>
            </w:pP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c>
          <w:tcPr>
            <w:tcW w:w="5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排放量减少，因计算方法更新及处置措施增加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 w:type="pct"/>
            <w:gridSpan w:val="2"/>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厂界</w:t>
            </w:r>
          </w:p>
        </w:tc>
        <w:tc>
          <w:tcPr>
            <w:tcW w:w="264"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非甲烷总烃</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color w:val="000000"/>
                <w:sz w:val="21"/>
                <w:szCs w:val="21"/>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6"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506" w:type="pct"/>
            <w:gridSpan w:val="2"/>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厂界</w:t>
            </w:r>
          </w:p>
        </w:tc>
        <w:tc>
          <w:tcPr>
            <w:tcW w:w="322"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非甲烷总烃</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5" w:type="pct"/>
            <w:vAlign w:val="center"/>
          </w:tcPr>
          <w:p>
            <w:pPr>
              <w:widowControl/>
              <w:jc w:val="center"/>
              <w:textAlignment w:val="center"/>
              <w:rPr>
                <w:rFonts w:ascii="Times New Roman" w:hAnsi="Times New Roman" w:eastAsia="宋体" w:cs="Times New Roman"/>
                <w:color w:val="000000"/>
                <w:sz w:val="21"/>
                <w:szCs w:val="21"/>
              </w:rPr>
            </w:pPr>
            <w:r>
              <w:rPr>
                <w:rFonts w:ascii="Times New Roman" w:hAnsi="Times New Roman" w:eastAsia="宋体" w:cs="Times New Roman"/>
                <w:color w:val="000000"/>
                <w:kern w:val="0"/>
                <w:sz w:val="21"/>
                <w:szCs w:val="21"/>
                <w:lang w:bidi="ar"/>
              </w:rPr>
              <w:t xml:space="preserve">0.243 </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0.35</w:t>
            </w:r>
          </w:p>
        </w:tc>
        <w:tc>
          <w:tcPr>
            <w:tcW w:w="255"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间歇排放1440h/a </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597"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补充核算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 w:type="pct"/>
            <w:gridSpan w:val="2"/>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颗粒物</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hint="eastAsia" w:ascii="Times New Roman" w:hAnsi="Times New Roman" w:eastAsia="宋体" w:cs="Times New Roman"/>
                <w:kern w:val="0"/>
                <w:sz w:val="21"/>
                <w:szCs w:val="21"/>
                <w:lang w:bidi="ar"/>
              </w:rPr>
              <w:t>/</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506" w:type="pct"/>
            <w:gridSpan w:val="2"/>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颗粒物</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0.0833 </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0.12</w:t>
            </w:r>
          </w:p>
        </w:tc>
        <w:tc>
          <w:tcPr>
            <w:tcW w:w="255" w:type="pct"/>
            <w:vMerge w:val="continue"/>
            <w:vAlign w:val="center"/>
          </w:tcPr>
          <w:p>
            <w:pPr>
              <w:contextualSpacing/>
              <w:jc w:val="center"/>
              <w:rPr>
                <w:rFonts w:ascii="Times New Roman" w:hAnsi="Times New Roman" w:eastAsia="宋体" w:cs="Times New Roman"/>
                <w:sz w:val="21"/>
                <w:szCs w:val="21"/>
              </w:rPr>
            </w:pP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c>
          <w:tcPr>
            <w:tcW w:w="597" w:type="pc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补充核算</w:t>
            </w:r>
          </w:p>
        </w:tc>
      </w:tr>
    </w:tbl>
    <w:p>
      <w:pPr>
        <w:spacing w:line="500" w:lineRule="exact"/>
        <w:ind w:firstLine="560" w:firstLineChars="200"/>
        <w:rPr>
          <w:rFonts w:ascii="Times New Roman" w:hAnsi="Times New Roman" w:eastAsia="宋体" w:cs="Times New Roman"/>
          <w:sz w:val="28"/>
          <w:szCs w:val="28"/>
        </w:rPr>
        <w:sectPr>
          <w:pgSz w:w="16838" w:h="11906" w:orient="landscape"/>
          <w:pgMar w:top="1800" w:right="1440" w:bottom="1800" w:left="1440" w:header="851" w:footer="992" w:gutter="0"/>
          <w:cols w:space="425" w:num="1"/>
          <w:docGrid w:type="lines" w:linePitch="312" w:charSpace="0"/>
        </w:sectPr>
      </w:pPr>
    </w:p>
    <w:p>
      <w:pPr>
        <w:spacing w:line="500" w:lineRule="exact"/>
        <w:ind w:firstLine="560" w:firstLineChars="200"/>
        <w:rPr>
          <w:rFonts w:ascii="Times New Roman" w:hAnsi="Times New Roman" w:eastAsia="宋体" w:cs="Times New Roman"/>
          <w:sz w:val="28"/>
          <w:szCs w:val="28"/>
        </w:rPr>
      </w:pPr>
    </w:p>
    <w:p>
      <w:pPr>
        <w:widowControl/>
        <w:spacing w:line="500" w:lineRule="exact"/>
        <w:ind w:right="-142" w:firstLine="560" w:firstLineChars="200"/>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环评批复量与现有项目实际排放量对比</w:t>
      </w:r>
      <w:r>
        <w:rPr>
          <w:rFonts w:ascii="Times New Roman" w:hAnsi="Times New Roman" w:eastAsia="宋体" w:cs="Times New Roman"/>
          <w:kern w:val="0"/>
          <w:sz w:val="28"/>
          <w:szCs w:val="28"/>
        </w:rPr>
        <w:t>见表3.1-</w:t>
      </w:r>
      <w:r>
        <w:rPr>
          <w:rFonts w:hint="eastAsia" w:ascii="Times New Roman" w:hAnsi="Times New Roman" w:eastAsia="宋体" w:cs="Times New Roman"/>
          <w:kern w:val="0"/>
          <w:sz w:val="28"/>
          <w:szCs w:val="28"/>
        </w:rPr>
        <w:t>2</w:t>
      </w:r>
      <w:r>
        <w:rPr>
          <w:rFonts w:ascii="Times New Roman" w:hAnsi="Times New Roman" w:eastAsia="宋体" w:cs="Times New Roman"/>
          <w:kern w:val="0"/>
          <w:sz w:val="28"/>
          <w:szCs w:val="28"/>
        </w:rPr>
        <w:t>。</w:t>
      </w:r>
    </w:p>
    <w:p>
      <w:pPr>
        <w:widowControl/>
        <w:spacing w:line="500" w:lineRule="exact"/>
        <w:ind w:right="-142"/>
        <w:jc w:val="center"/>
        <w:rPr>
          <w:rFonts w:ascii="Times New Roman" w:hAnsi="Times New Roman" w:eastAsia="宋体" w:cs="Times New Roman"/>
          <w:b/>
          <w:kern w:val="0"/>
          <w:sz w:val="28"/>
          <w:szCs w:val="28"/>
        </w:rPr>
      </w:pPr>
      <w:r>
        <w:rPr>
          <w:rFonts w:ascii="Times New Roman" w:hAnsi="Times New Roman" w:eastAsia="宋体" w:cs="Times New Roman"/>
          <w:b/>
          <w:kern w:val="0"/>
          <w:sz w:val="24"/>
          <w:szCs w:val="24"/>
        </w:rPr>
        <w:t>表3.1-</w:t>
      </w:r>
      <w:r>
        <w:rPr>
          <w:rFonts w:hint="eastAsia" w:ascii="Times New Roman" w:hAnsi="Times New Roman" w:eastAsia="宋体" w:cs="Times New Roman"/>
          <w:b/>
          <w:kern w:val="0"/>
          <w:sz w:val="24"/>
          <w:szCs w:val="24"/>
        </w:rPr>
        <w:t>2环评批复量与现有项目实际排放量对比</w:t>
      </w:r>
      <w:r>
        <w:rPr>
          <w:rFonts w:ascii="Times New Roman" w:hAnsi="Times New Roman" w:eastAsia="宋体" w:cs="Times New Roman"/>
          <w:b/>
          <w:kern w:val="0"/>
          <w:sz w:val="24"/>
          <w:szCs w:val="24"/>
        </w:rPr>
        <w:t>情况表（t/a）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83"/>
        <w:gridCol w:w="538"/>
        <w:gridCol w:w="1346"/>
        <w:gridCol w:w="1231"/>
        <w:gridCol w:w="1231"/>
        <w:gridCol w:w="1794"/>
        <w:gridCol w:w="179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jc w:val="center"/>
        </w:trPr>
        <w:tc>
          <w:tcPr>
            <w:tcW w:w="492" w:type="dxa"/>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种类</w:t>
            </w:r>
          </w:p>
        </w:tc>
        <w:tc>
          <w:tcPr>
            <w:tcW w:w="2390" w:type="dxa"/>
            <w:gridSpan w:val="2"/>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污染物名称</w:t>
            </w:r>
          </w:p>
        </w:tc>
        <w:tc>
          <w:tcPr>
            <w:tcW w:w="1544" w:type="dxa"/>
            <w:vAlign w:val="center"/>
          </w:tcPr>
          <w:p>
            <w:pPr>
              <w:snapToGrid w:val="0"/>
              <w:jc w:val="center"/>
              <w:rPr>
                <w:rFonts w:ascii="Times New Roman" w:hAnsi="Times New Roman" w:eastAsia="宋体" w:cs="Times New Roman"/>
                <w:szCs w:val="21"/>
              </w:rPr>
            </w:pPr>
            <w:r>
              <w:rPr>
                <w:rFonts w:hint="eastAsia" w:ascii="Times New Roman" w:hAnsi="Times New Roman" w:eastAsia="宋体" w:cs="Times New Roman"/>
                <w:szCs w:val="21"/>
              </w:rPr>
              <w:t>环评批复量</w:t>
            </w:r>
          </w:p>
        </w:tc>
        <w:tc>
          <w:tcPr>
            <w:tcW w:w="1544"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变动前</w:t>
            </w:r>
            <w:r>
              <w:rPr>
                <w:rFonts w:hint="eastAsia" w:ascii="Times New Roman" w:hAnsi="Times New Roman" w:eastAsia="宋体" w:cs="Times New Roman"/>
                <w:szCs w:val="21"/>
              </w:rPr>
              <w:t>实际</w:t>
            </w:r>
            <w:r>
              <w:rPr>
                <w:rFonts w:ascii="Times New Roman" w:hAnsi="Times New Roman" w:eastAsia="宋体" w:cs="Times New Roman"/>
                <w:szCs w:val="21"/>
              </w:rPr>
              <w:t>排放量</w:t>
            </w:r>
          </w:p>
        </w:tc>
        <w:tc>
          <w:tcPr>
            <w:tcW w:w="2346" w:type="dxa"/>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变化量</w:t>
            </w:r>
          </w:p>
        </w:tc>
        <w:tc>
          <w:tcPr>
            <w:tcW w:w="2346" w:type="dxa"/>
            <w:tcMar>
              <w:left w:w="0" w:type="dxa"/>
              <w:right w:w="0" w:type="dxa"/>
            </w:tcMar>
            <w:vAlign w:val="center"/>
          </w:tcPr>
          <w:p>
            <w:pPr>
              <w:snapToGrid w:val="0"/>
              <w:jc w:val="center"/>
              <w:rPr>
                <w:rFonts w:ascii="Times New Roman" w:hAnsi="Times New Roman" w:eastAsia="宋体" w:cs="Times New Roman"/>
                <w:szCs w:val="21"/>
              </w:rPr>
            </w:pPr>
            <w:r>
              <w:rPr>
                <w:rFonts w:hint="eastAsia" w:ascii="Times New Roman" w:hAnsi="Times New Roman" w:eastAsia="宋体"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92" w:type="dxa"/>
            <w:vMerge w:val="restart"/>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695" w:type="dxa"/>
            <w:vMerge w:val="restart"/>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有组织</w:t>
            </w: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3.57</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3.57</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SO</w:t>
            </w:r>
            <w:r>
              <w:rPr>
                <w:rFonts w:ascii="Times New Roman" w:hAnsi="Times New Roman" w:eastAsia="宋体" w:cs="Times New Roman"/>
                <w:szCs w:val="21"/>
                <w:vertAlign w:val="subscript"/>
              </w:rPr>
              <w:t>2</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0.48</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0.48</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NOx</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0.661</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+0.661</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补充核算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沥青烟</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7.5</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0.23</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-7.27</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计算方法更新及处置措施增加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苯并芘</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0.00003</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0.0000</w:t>
            </w:r>
            <w:r>
              <w:rPr>
                <w:rFonts w:hint="eastAsia" w:ascii="Times New Roman" w:hAnsi="Times New Roman" w:eastAsia="宋体" w:cs="Times New Roman"/>
                <w:szCs w:val="21"/>
              </w:rPr>
              <w:t>1</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-0.00002</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处置措施增加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非甲烷总烃</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0.16</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+0.16</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补充核算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restart"/>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无组织</w:t>
            </w: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非甲烷总烃</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0.35</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+0.35</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补充核算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92"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695"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695"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颗粒物</w:t>
            </w:r>
          </w:p>
        </w:tc>
        <w:tc>
          <w:tcPr>
            <w:tcW w:w="1544"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544"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0.12</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+0.12</w:t>
            </w:r>
          </w:p>
        </w:tc>
        <w:tc>
          <w:tcPr>
            <w:tcW w:w="2346"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补充核算</w:t>
            </w:r>
          </w:p>
        </w:tc>
      </w:tr>
    </w:tbl>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lang w:val="zh-CN"/>
        </w:rPr>
        <w:t>由表</w:t>
      </w:r>
      <w:r>
        <w:rPr>
          <w:rFonts w:ascii="Times New Roman" w:hAnsi="Times New Roman" w:eastAsia="宋体" w:cs="Times New Roman"/>
          <w:sz w:val="28"/>
          <w:szCs w:val="28"/>
        </w:rPr>
        <w:t>3.1-</w:t>
      </w:r>
      <w:r>
        <w:rPr>
          <w:rFonts w:hint="eastAsia" w:ascii="Times New Roman" w:hAnsi="Times New Roman" w:eastAsia="宋体" w:cs="Times New Roman"/>
          <w:sz w:val="28"/>
          <w:szCs w:val="28"/>
        </w:rPr>
        <w:t>1</w:t>
      </w:r>
      <w:r>
        <w:rPr>
          <w:rFonts w:ascii="Times New Roman" w:hAnsi="Times New Roman" w:eastAsia="宋体" w:cs="Times New Roman"/>
          <w:sz w:val="28"/>
          <w:szCs w:val="28"/>
        </w:rPr>
        <w:t>及3.1-</w:t>
      </w:r>
      <w:r>
        <w:rPr>
          <w:rFonts w:hint="eastAsia" w:ascii="Times New Roman" w:hAnsi="Times New Roman" w:eastAsia="宋体" w:cs="Times New Roman"/>
          <w:sz w:val="28"/>
          <w:szCs w:val="28"/>
        </w:rPr>
        <w:t>2</w:t>
      </w:r>
      <w:r>
        <w:rPr>
          <w:rFonts w:ascii="Times New Roman" w:hAnsi="Times New Roman" w:eastAsia="宋体" w:cs="Times New Roman"/>
          <w:sz w:val="28"/>
          <w:szCs w:val="28"/>
          <w:lang w:val="zh-CN"/>
        </w:rPr>
        <w:t>可以看出，企业后</w:t>
      </w:r>
      <w:r>
        <w:rPr>
          <w:rFonts w:hint="eastAsia" w:ascii="Times New Roman" w:hAnsi="Times New Roman" w:eastAsia="宋体" w:cs="Times New Roman"/>
          <w:kern w:val="0"/>
          <w:sz w:val="28"/>
          <w:szCs w:val="28"/>
        </w:rPr>
        <w:t>现有项目实际排放量与环评批复量有较大出入</w:t>
      </w:r>
      <w:r>
        <w:rPr>
          <w:rFonts w:hint="eastAsia" w:ascii="Times New Roman" w:hAnsi="Times New Roman" w:eastAsia="宋体" w:cs="Times New Roman"/>
          <w:sz w:val="28"/>
          <w:szCs w:val="28"/>
        </w:rPr>
        <w:t>。本次核算沥青烟气计算结果较环评减少的主要原因为：①</w:t>
      </w:r>
      <w:r>
        <w:rPr>
          <w:rFonts w:ascii="Times New Roman" w:hAnsi="Times New Roman" w:eastAsia="宋体" w:cs="Times New Roman"/>
          <w:sz w:val="28"/>
          <w:szCs w:val="32"/>
        </w:rPr>
        <w:t>《连云港天丰沥青有限公司</w:t>
      </w:r>
      <w:r>
        <w:rPr>
          <w:rFonts w:hint="eastAsia" w:ascii="Times New Roman" w:hAnsi="Times New Roman" w:eastAsia="宋体" w:cs="Times New Roman"/>
          <w:sz w:val="28"/>
          <w:szCs w:val="32"/>
        </w:rPr>
        <w:t>废气综</w:t>
      </w:r>
      <w:r>
        <w:rPr>
          <w:rFonts w:hint="eastAsia" w:ascii="Times New Roman" w:hAnsi="Times New Roman" w:eastAsia="宋体" w:cs="Times New Roman"/>
          <w:sz w:val="28"/>
          <w:szCs w:val="28"/>
        </w:rPr>
        <w:t>合整治技改项目》（2022年05月20日，202232070700000111）为登记表，废气处置措施由吸附法改为喷淋洗涤塔+等离子UV光氧一体机+活性炭吸附装置，废气处置措施处理效率提高；②企业环评报告中中仅给出了沥青烟气的总量，并未给出详细的总量核算方法，故本次评价对沥青烟气进行了重新核算，因核算方法不同，故企业现有项目排放总量较环评报告中减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苯并芘计算结果较环评减少的主要原因为：①</w:t>
      </w:r>
      <w:r>
        <w:rPr>
          <w:rFonts w:ascii="Times New Roman" w:hAnsi="Times New Roman" w:eastAsia="宋体" w:cs="Times New Roman"/>
          <w:sz w:val="28"/>
          <w:szCs w:val="32"/>
        </w:rPr>
        <w:t>《连云港天丰沥青有限公司</w:t>
      </w:r>
      <w:r>
        <w:rPr>
          <w:rFonts w:hint="eastAsia" w:ascii="Times New Roman" w:hAnsi="Times New Roman" w:eastAsia="宋体" w:cs="Times New Roman"/>
          <w:sz w:val="28"/>
          <w:szCs w:val="32"/>
        </w:rPr>
        <w:t>废气综</w:t>
      </w:r>
      <w:r>
        <w:rPr>
          <w:rFonts w:hint="eastAsia" w:ascii="Times New Roman" w:hAnsi="Times New Roman" w:eastAsia="宋体" w:cs="Times New Roman"/>
          <w:sz w:val="28"/>
          <w:szCs w:val="28"/>
        </w:rPr>
        <w:t>合整治技改项目》（2022年05月20日，202232070700000111）为登记表，废气处置措施由吸附法改为喷淋洗涤塔+等离子UV光氧一体机+活性炭吸附装置，废气处置措施处理效率提高。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有组织氮氧化物、非甲烷总烃废气和无组织非甲烷总烃、颗粒物废气排放量增加原因为环评报告污染因子识别不全，本次评价予以补充核算。</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Times New Roman" w:hAnsi="Times New Roman" w:eastAsia="宋体" w:cs="Times New Roman"/>
          <w:b/>
          <w:bCs/>
          <w:sz w:val="28"/>
          <w:szCs w:val="28"/>
        </w:rPr>
      </w:pPr>
      <w:r>
        <w:rPr>
          <w:rFonts w:hint="eastAsia" w:ascii="Times New Roman" w:hAnsi="Times New Roman" w:eastAsia="宋体" w:cs="Times New Roman"/>
          <w:b/>
          <w:bCs/>
          <w:sz w:val="28"/>
          <w:szCs w:val="28"/>
        </w:rPr>
        <w:t>变动后项目废气排放情况：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旧沥青混合料原料变动的必要性分析</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32"/>
        </w:rPr>
        <w:t>为响应《关于推进全市建筑垃圾资源化利用工作的通知》（连城管发</w:t>
      </w:r>
      <w:r>
        <w:rPr>
          <w:rFonts w:ascii="Times New Roman" w:hAnsi="Times New Roman" w:eastAsia="宋体" w:cs="Times New Roman"/>
          <w:sz w:val="28"/>
          <w:szCs w:val="32"/>
        </w:rPr>
        <w:t>[2020]94</w:t>
      </w:r>
      <w:r>
        <w:rPr>
          <w:rFonts w:hint="eastAsia" w:ascii="Times New Roman" w:hAnsi="Times New Roman" w:eastAsia="宋体" w:cs="Times New Roman"/>
          <w:sz w:val="28"/>
          <w:szCs w:val="32"/>
        </w:rPr>
        <w:t>号）的号召，对建筑废料（主要为废旧沥青料）进行资源化再利用</w:t>
      </w:r>
      <w:r>
        <w:rPr>
          <w:rFonts w:hint="eastAsia" w:ascii="Times New Roman" w:hAnsi="Times New Roman" w:eastAsia="宋体" w:cs="Times New Roman"/>
          <w:sz w:val="28"/>
          <w:szCs w:val="28"/>
        </w:rPr>
        <w:t>，</w:t>
      </w:r>
      <w:r>
        <w:rPr>
          <w:rFonts w:ascii="Times New Roman" w:hAnsi="Times New Roman" w:eastAsia="宋体" w:cs="Times New Roman"/>
          <w:sz w:val="28"/>
          <w:szCs w:val="18"/>
        </w:rPr>
        <w:t>本项目旧沥青混合料使用量最大占比为</w:t>
      </w:r>
      <w:r>
        <w:rPr>
          <w:rFonts w:hint="eastAsia" w:ascii="Times New Roman" w:hAnsi="Times New Roman" w:eastAsia="宋体" w:cs="Times New Roman"/>
          <w:sz w:val="28"/>
          <w:szCs w:val="18"/>
        </w:rPr>
        <w:t>2</w:t>
      </w:r>
      <w:r>
        <w:rPr>
          <w:rFonts w:ascii="Times New Roman" w:hAnsi="Times New Roman" w:eastAsia="宋体" w:cs="Times New Roman"/>
          <w:sz w:val="28"/>
          <w:szCs w:val="18"/>
        </w:rPr>
        <w:t>0%，产品质量要求高的产品不使用旧沥青混合料。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变动后</w:t>
      </w:r>
      <w:r>
        <w:rPr>
          <w:rFonts w:hint="eastAsia" w:ascii="Times New Roman" w:hAnsi="Times New Roman" w:eastAsia="宋体" w:cs="Times New Roman"/>
          <w:sz w:val="28"/>
          <w:szCs w:val="28"/>
        </w:rPr>
        <w:t>在企业不使用旧沥青混合料的情况下，</w:t>
      </w:r>
      <w:r>
        <w:rPr>
          <w:rFonts w:ascii="Times New Roman" w:hAnsi="Times New Roman" w:eastAsia="宋体" w:cs="Times New Roman"/>
          <w:sz w:val="28"/>
          <w:szCs w:val="28"/>
        </w:rPr>
        <w:t>粉尘量</w:t>
      </w:r>
      <w:r>
        <w:rPr>
          <w:rFonts w:hint="eastAsia" w:ascii="Times New Roman" w:hAnsi="Times New Roman" w:eastAsia="宋体" w:cs="Times New Roman"/>
          <w:sz w:val="28"/>
          <w:szCs w:val="28"/>
        </w:rPr>
        <w:t>不发生变化，使用旧沥青混合料的情况下，旧沥青混合料的原料含尘物质相比于砂石料较小，但因最不利情况下（即企业不使用旧沥青混合料）粉尘量不发生变化</w:t>
      </w:r>
      <w:r>
        <w:rPr>
          <w:rFonts w:ascii="Times New Roman" w:hAnsi="Times New Roman" w:eastAsia="宋体" w:cs="Times New Roman"/>
          <w:sz w:val="28"/>
          <w:szCs w:val="28"/>
        </w:rPr>
        <w:t>，故颗粒物产生量不</w:t>
      </w:r>
      <w:r>
        <w:rPr>
          <w:rFonts w:hint="eastAsia" w:ascii="Times New Roman" w:hAnsi="Times New Roman" w:eastAsia="宋体" w:cs="Times New Roman"/>
          <w:sz w:val="28"/>
          <w:szCs w:val="28"/>
        </w:rPr>
        <w:t>进行重新核算</w:t>
      </w:r>
      <w:r>
        <w:rPr>
          <w:rFonts w:ascii="Times New Roman" w:hAnsi="Times New Roman" w:eastAsia="宋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变动后，部分改用旧沥青混合料，旧沥青混合料在干燥工序加热，故对沥青烟气</w:t>
      </w:r>
      <w:r>
        <w:rPr>
          <w:rFonts w:hint="eastAsia" w:ascii="Times New Roman" w:hAnsi="Times New Roman" w:eastAsia="宋体" w:cs="Times New Roman"/>
          <w:sz w:val="28"/>
          <w:szCs w:val="28"/>
        </w:rPr>
        <w:t>（包含</w:t>
      </w:r>
      <w:r>
        <w:rPr>
          <w:rFonts w:ascii="Times New Roman" w:hAnsi="Times New Roman" w:eastAsia="宋体" w:cs="Times New Roman"/>
          <w:color w:val="000000"/>
          <w:kern w:val="0"/>
          <w:sz w:val="28"/>
          <w:szCs w:val="28"/>
        </w:rPr>
        <w:t>旧沥青混合料加热废气</w:t>
      </w:r>
      <w:r>
        <w:rPr>
          <w:rFonts w:hint="eastAsia" w:ascii="Times New Roman" w:hAnsi="Times New Roman" w:eastAsia="宋体" w:cs="Times New Roman"/>
          <w:color w:val="000000"/>
          <w:kern w:val="0"/>
          <w:sz w:val="28"/>
          <w:szCs w:val="28"/>
        </w:rPr>
        <w:t>和新</w:t>
      </w:r>
      <w:r>
        <w:rPr>
          <w:rFonts w:ascii="Times New Roman" w:hAnsi="Times New Roman" w:eastAsia="宋体" w:cs="Times New Roman"/>
          <w:color w:val="000000"/>
          <w:kern w:val="0"/>
          <w:sz w:val="28"/>
          <w:szCs w:val="28"/>
        </w:rPr>
        <w:t>沥青卸料、储存</w:t>
      </w:r>
      <w:r>
        <w:rPr>
          <w:rFonts w:hint="eastAsia" w:ascii="Times New Roman" w:hAnsi="Times New Roman" w:eastAsia="宋体" w:cs="Times New Roman"/>
          <w:color w:val="000000"/>
          <w:kern w:val="0"/>
          <w:sz w:val="28"/>
          <w:szCs w:val="28"/>
        </w:rPr>
        <w:t>、输送</w:t>
      </w:r>
      <w:r>
        <w:rPr>
          <w:rFonts w:ascii="Times New Roman" w:hAnsi="Times New Roman" w:eastAsia="宋体" w:cs="Times New Roman"/>
          <w:color w:val="000000"/>
          <w:kern w:val="0"/>
          <w:sz w:val="28"/>
          <w:szCs w:val="28"/>
        </w:rPr>
        <w:t>加热</w:t>
      </w:r>
      <w:r>
        <w:rPr>
          <w:rFonts w:hint="eastAsia" w:ascii="Times New Roman" w:hAnsi="Times New Roman" w:eastAsia="宋体" w:cs="Times New Roman"/>
          <w:color w:val="000000"/>
          <w:kern w:val="0"/>
          <w:sz w:val="28"/>
          <w:szCs w:val="28"/>
        </w:rPr>
        <w:t>废气</w:t>
      </w:r>
      <w:r>
        <w:rPr>
          <w:rFonts w:ascii="Times New Roman" w:hAnsi="Times New Roman" w:eastAsia="宋体" w:cs="Times New Roman"/>
          <w:color w:val="000000"/>
          <w:kern w:val="0"/>
          <w:sz w:val="28"/>
          <w:szCs w:val="28"/>
        </w:rPr>
        <w:t>、拌合废气</w:t>
      </w:r>
      <w:r>
        <w:rPr>
          <w:rFonts w:hint="eastAsia" w:ascii="Times New Roman" w:hAnsi="Times New Roman" w:eastAsia="宋体" w:cs="Times New Roman"/>
          <w:sz w:val="28"/>
          <w:szCs w:val="28"/>
        </w:rPr>
        <w:t>）</w:t>
      </w:r>
      <w:r>
        <w:rPr>
          <w:rFonts w:ascii="Times New Roman" w:hAnsi="Times New Roman" w:eastAsia="宋体" w:cs="Times New Roman"/>
          <w:sz w:val="28"/>
          <w:szCs w:val="28"/>
        </w:rPr>
        <w:t>进行重新核算；加热工序采用</w:t>
      </w:r>
      <w:r>
        <w:rPr>
          <w:rFonts w:hint="eastAsia" w:ascii="Times New Roman" w:hAnsi="Times New Roman" w:eastAsia="宋体" w:cs="Times New Roman"/>
          <w:sz w:val="28"/>
          <w:szCs w:val="28"/>
        </w:rPr>
        <w:t>燃烧器</w:t>
      </w:r>
      <w:r>
        <w:rPr>
          <w:rFonts w:ascii="Times New Roman" w:hAnsi="Times New Roman" w:eastAsia="宋体" w:cs="Times New Roman"/>
          <w:sz w:val="28"/>
          <w:szCs w:val="28"/>
        </w:rPr>
        <w:t>直接加热，且加热工序及导热油炉加热均改为使用天然气进行加热，故对燃烧废气</w:t>
      </w:r>
      <w:r>
        <w:rPr>
          <w:rFonts w:hint="eastAsia" w:ascii="Times New Roman" w:hAnsi="Times New Roman" w:eastAsia="宋体" w:cs="Times New Roman"/>
          <w:sz w:val="28"/>
          <w:szCs w:val="28"/>
        </w:rPr>
        <w:t>（包含导热油炉供热锅炉废气和燃烧器燃烧废气）</w:t>
      </w:r>
      <w:r>
        <w:rPr>
          <w:rFonts w:ascii="Times New Roman" w:hAnsi="Times New Roman" w:eastAsia="宋体" w:cs="Times New Roman"/>
          <w:sz w:val="28"/>
          <w:szCs w:val="28"/>
        </w:rPr>
        <w:t>进行重新核算。</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①燃烧废气</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color w:val="000000"/>
          <w:sz w:val="28"/>
          <w:szCs w:val="28"/>
        </w:rPr>
      </w:pPr>
      <w:r>
        <w:rPr>
          <w:rFonts w:ascii="Times New Roman" w:hAnsi="Times New Roman" w:eastAsia="宋体" w:cs="Times New Roman"/>
          <w:sz w:val="28"/>
          <w:szCs w:val="28"/>
        </w:rPr>
        <w:t>根据《排放</w:t>
      </w:r>
      <w:r>
        <w:rPr>
          <w:rFonts w:ascii="Times New Roman" w:hAnsi="Times New Roman" w:eastAsia="宋体" w:cs="Times New Roman"/>
          <w:color w:val="000000"/>
          <w:sz w:val="28"/>
          <w:szCs w:val="28"/>
        </w:rPr>
        <w:t>源统计调查产排污核算方法和系数手册》（公告2021年第24号）《锅炉产排污量核算系数手册》，天然气燃烧后生成的废气量排放系数为107753Nm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/万m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-天然气，二氧化硫排放系数为0.02Skg/万m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-天然气（产污系数表中二氧化硫的产污系数是以含硫量（S）的形式表示的，其中含硫量（S，mg/m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）是指天然气中硫分含量。经核实，本项目使用的天然气满足二类天然气标准，根据《天然气》（GB 17820-2018），天然气</w:t>
      </w:r>
      <w:r>
        <w:rPr>
          <w:rFonts w:ascii="Times New Roman" w:hAnsi="Times New Roman" w:eastAsia="宋体" w:cs="Times New Roman"/>
          <w:sz w:val="28"/>
          <w:szCs w:val="28"/>
        </w:rPr>
        <w:t>S≤100mg/m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，本项目天然气S含量取100 mg/m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，氮氧化物排放系数因锅炉采用的低氮燃烧技术的技术程度不同分别为15.87kg/万m</w:t>
      </w:r>
      <w:r>
        <w:rPr>
          <w:rFonts w:ascii="Times New Roman" w:hAnsi="Times New Roman" w:eastAsia="宋体" w:cs="Times New Roman"/>
          <w:sz w:val="28"/>
          <w:szCs w:val="28"/>
          <w:vertAlign w:val="superscript"/>
        </w:rPr>
        <w:t>3</w:t>
      </w:r>
      <w:r>
        <w:rPr>
          <w:rFonts w:ascii="Times New Roman" w:hAnsi="Times New Roman" w:eastAsia="宋体" w:cs="Times New Roman"/>
          <w:sz w:val="28"/>
          <w:szCs w:val="28"/>
        </w:rPr>
        <w:t>-天然气（低氮燃烧-国内一般），6.97kg/万</w:t>
      </w:r>
      <w:r>
        <w:rPr>
          <w:rFonts w:ascii="Times New Roman" w:hAnsi="Times New Roman" w:eastAsia="宋体" w:cs="Times New Roman"/>
          <w:color w:val="000000"/>
          <w:sz w:val="28"/>
          <w:szCs w:val="28"/>
        </w:rPr>
        <w:t>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-天然气（低氮燃烧-国内领先），3.03kg/万m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-天然气（低氮燃烧-国际领先）。本项目导热油炉采用国际领先的低氮燃烧技术，即氮氧化物排放系数为3.03kg/万m</w:t>
      </w:r>
      <w:r>
        <w:rPr>
          <w:rFonts w:ascii="Times New Roman" w:hAnsi="Times New Roman" w:eastAsia="宋体" w:cs="Times New Roman"/>
          <w:color w:val="000000"/>
          <w:sz w:val="28"/>
          <w:szCs w:val="28"/>
          <w:vertAlign w:val="superscript"/>
        </w:rPr>
        <w:t>3</w:t>
      </w:r>
      <w:r>
        <w:rPr>
          <w:rFonts w:ascii="Times New Roman" w:hAnsi="Times New Roman" w:eastAsia="宋体" w:cs="Times New Roman"/>
          <w:color w:val="000000"/>
          <w:sz w:val="28"/>
          <w:szCs w:val="28"/>
        </w:rPr>
        <w:t>-天然气（低氮燃烧-国际领先）。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颗粒物产生系数参照第二次全国污染源普查中《4411火力发电、4412热电联产行业系数手册》天然气锅炉产污系数，天然气燃烧产生颗粒物103.9mg/m</w:t>
      </w:r>
      <w:r>
        <w:rPr>
          <w:rFonts w:ascii="Times New Roman" w:hAnsi="Times New Roman" w:eastAsia="宋体" w:cs="Times New Roman"/>
          <w:color w:val="000000"/>
          <w:kern w:val="0"/>
          <w:sz w:val="28"/>
          <w:szCs w:val="28"/>
          <w:vertAlign w:val="superscript"/>
        </w:rPr>
        <w:t>3</w:t>
      </w:r>
      <w:r>
        <w:rPr>
          <w:rFonts w:ascii="Times New Roman" w:hAnsi="Times New Roman" w:eastAsia="宋体" w:cs="Times New Roman"/>
          <w:color w:val="000000"/>
          <w:kern w:val="0"/>
          <w:sz w:val="28"/>
          <w:szCs w:val="28"/>
        </w:rPr>
        <w:t>天然气。</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color w:val="000000"/>
          <w:sz w:val="28"/>
          <w:szCs w:val="28"/>
        </w:rPr>
      </w:pPr>
      <w:r>
        <w:rPr>
          <w:rFonts w:ascii="Times New Roman" w:hAnsi="Times New Roman" w:eastAsia="宋体" w:cs="Times New Roman"/>
          <w:color w:val="000000"/>
          <w:sz w:val="28"/>
          <w:szCs w:val="28"/>
        </w:rPr>
        <w:t>具体见表</w:t>
      </w:r>
      <w:r>
        <w:rPr>
          <w:rFonts w:hint="eastAsia" w:ascii="Times New Roman" w:hAnsi="Times New Roman" w:eastAsia="宋体" w:cs="Times New Roman"/>
          <w:color w:val="000000"/>
          <w:sz w:val="28"/>
          <w:szCs w:val="28"/>
        </w:rPr>
        <w:t>3</w:t>
      </w:r>
      <w:r>
        <w:rPr>
          <w:rFonts w:ascii="Times New Roman" w:hAnsi="Times New Roman" w:eastAsia="宋体" w:cs="Times New Roman"/>
          <w:color w:val="000000"/>
          <w:sz w:val="28"/>
          <w:szCs w:val="28"/>
        </w:rPr>
        <w:t>.1-</w:t>
      </w:r>
      <w:r>
        <w:rPr>
          <w:rFonts w:hint="eastAsia" w:ascii="Times New Roman" w:hAnsi="Times New Roman" w:eastAsia="宋体" w:cs="Times New Roman"/>
          <w:color w:val="000000"/>
          <w:sz w:val="28"/>
          <w:szCs w:val="28"/>
        </w:rPr>
        <w:t>3</w:t>
      </w:r>
      <w:r>
        <w:rPr>
          <w:rFonts w:ascii="Times New Roman" w:hAnsi="Times New Roman" w:eastAsia="宋体" w:cs="Times New Roman"/>
          <w:color w:val="000000"/>
          <w:sz w:val="28"/>
          <w:szCs w:val="28"/>
        </w:rPr>
        <w:t>。</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宋体" w:cs="Times New Roman"/>
          <w:b/>
          <w:color w:val="000000"/>
          <w:sz w:val="24"/>
          <w:szCs w:val="24"/>
        </w:rPr>
      </w:pPr>
      <w:r>
        <w:rPr>
          <w:rFonts w:ascii="Times New Roman" w:hAnsi="Times New Roman" w:eastAsia="宋体" w:cs="Times New Roman"/>
          <w:b/>
          <w:color w:val="000000"/>
          <w:sz w:val="24"/>
          <w:szCs w:val="24"/>
        </w:rPr>
        <w:t>表</w:t>
      </w:r>
      <w:r>
        <w:rPr>
          <w:rFonts w:hint="eastAsia" w:ascii="Times New Roman" w:hAnsi="Times New Roman" w:eastAsia="宋体" w:cs="Times New Roman"/>
          <w:b/>
          <w:color w:val="000000"/>
          <w:sz w:val="24"/>
          <w:szCs w:val="24"/>
        </w:rPr>
        <w:t>3.1-3</w:t>
      </w:r>
      <w:r>
        <w:rPr>
          <w:rFonts w:ascii="Times New Roman" w:hAnsi="Times New Roman" w:eastAsia="宋体" w:cs="Times New Roman"/>
          <w:b/>
          <w:color w:val="000000"/>
          <w:sz w:val="24"/>
          <w:szCs w:val="24"/>
        </w:rPr>
        <w:t xml:space="preserve"> 天然气燃烧产污系数表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069"/>
        <w:gridCol w:w="1621"/>
        <w:gridCol w:w="1795"/>
        <w:gridCol w:w="1900"/>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7"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污染源</w:t>
            </w:r>
          </w:p>
        </w:tc>
        <w:tc>
          <w:tcPr>
            <w:tcW w:w="627"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原料名称</w:t>
            </w:r>
          </w:p>
        </w:tc>
        <w:tc>
          <w:tcPr>
            <w:tcW w:w="950"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污染物指标</w:t>
            </w:r>
          </w:p>
        </w:tc>
        <w:tc>
          <w:tcPr>
            <w:tcW w:w="1052"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单位</w:t>
            </w: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产污系数</w:t>
            </w:r>
          </w:p>
        </w:tc>
        <w:tc>
          <w:tcPr>
            <w:tcW w:w="627"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项目排污系数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7" w:type="pct"/>
            <w:vMerge w:val="restar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导热油炉、燃烧器</w:t>
            </w:r>
          </w:p>
        </w:tc>
        <w:tc>
          <w:tcPr>
            <w:tcW w:w="627" w:type="pct"/>
            <w:vMerge w:val="restar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天然气</w:t>
            </w:r>
          </w:p>
        </w:tc>
        <w:tc>
          <w:tcPr>
            <w:tcW w:w="950"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工业废气量</w:t>
            </w:r>
          </w:p>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（燃烧）</w:t>
            </w:r>
          </w:p>
        </w:tc>
        <w:tc>
          <w:tcPr>
            <w:tcW w:w="1052"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标立方米/万立方米</w:t>
            </w: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107753</w:t>
            </w:r>
          </w:p>
        </w:tc>
        <w:tc>
          <w:tcPr>
            <w:tcW w:w="627"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107753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950"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颗粒物</w:t>
            </w:r>
          </w:p>
        </w:tc>
        <w:tc>
          <w:tcPr>
            <w:tcW w:w="1052"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千克/万立方米</w:t>
            </w: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1.039</w:t>
            </w:r>
          </w:p>
        </w:tc>
        <w:tc>
          <w:tcPr>
            <w:tcW w:w="627"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1.039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950"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二氧化硫</w:t>
            </w:r>
          </w:p>
        </w:tc>
        <w:tc>
          <w:tcPr>
            <w:tcW w:w="1052"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千克/万立方米</w:t>
            </w: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0.02S</w:t>
            </w:r>
            <w:r>
              <w:rPr>
                <w:rFonts w:ascii="Times New Roman" w:hAnsi="Times New Roman" w:eastAsia="宋体" w:cs="Times New Roman"/>
                <w:bCs/>
                <w:color w:val="000000"/>
                <w:szCs w:val="21"/>
                <w:vertAlign w:val="superscript"/>
              </w:rPr>
              <w:t>1</w:t>
            </w:r>
            <w:r>
              <w:rPr>
                <w:rFonts w:ascii="Times New Roman" w:hAnsi="Times New Roman" w:eastAsia="宋体" w:cs="Times New Roman"/>
                <w:bCs/>
                <w:szCs w:val="21"/>
              </w:rPr>
              <w:t>（S=100）</w:t>
            </w:r>
          </w:p>
        </w:tc>
        <w:tc>
          <w:tcPr>
            <w:tcW w:w="627"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950" w:type="pct"/>
            <w:vMerge w:val="restar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氮氧化物</w:t>
            </w:r>
          </w:p>
        </w:tc>
        <w:tc>
          <w:tcPr>
            <w:tcW w:w="1052" w:type="pct"/>
            <w:vMerge w:val="restar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千克/万立方米</w:t>
            </w: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15.87</w:t>
            </w:r>
            <w:r>
              <w:rPr>
                <w:rFonts w:ascii="Times New Roman" w:hAnsi="Times New Roman" w:eastAsia="宋体" w:cs="Times New Roman"/>
                <w:bCs/>
                <w:color w:val="000000"/>
                <w:szCs w:val="21"/>
                <w:vertAlign w:val="superscript"/>
              </w:rPr>
              <w:t>2</w:t>
            </w:r>
            <w:r>
              <w:rPr>
                <w:rFonts w:ascii="Times New Roman" w:hAnsi="Times New Roman" w:eastAsia="宋体" w:cs="Times New Roman"/>
                <w:bCs/>
                <w:color w:val="000000"/>
                <w:szCs w:val="21"/>
              </w:rPr>
              <w:t>（低氮燃烧-国内一般）</w:t>
            </w:r>
          </w:p>
        </w:tc>
        <w:tc>
          <w:tcPr>
            <w:tcW w:w="627" w:type="pct"/>
            <w:vMerge w:val="restar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950"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1052"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6.97</w:t>
            </w:r>
            <w:r>
              <w:rPr>
                <w:rFonts w:ascii="Times New Roman" w:hAnsi="Times New Roman" w:eastAsia="宋体" w:cs="Times New Roman"/>
                <w:bCs/>
                <w:color w:val="000000"/>
                <w:szCs w:val="21"/>
                <w:vertAlign w:val="superscript"/>
              </w:rPr>
              <w:t>2</w:t>
            </w:r>
            <w:r>
              <w:rPr>
                <w:rFonts w:ascii="Times New Roman" w:hAnsi="Times New Roman" w:eastAsia="宋体" w:cs="Times New Roman"/>
                <w:bCs/>
                <w:color w:val="000000"/>
                <w:szCs w:val="21"/>
              </w:rPr>
              <w:t>（低氮燃烧-国内领先）</w:t>
            </w: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950"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1052"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c>
          <w:tcPr>
            <w:tcW w:w="1114" w:type="pct"/>
            <w:tcBorders>
              <w:tl2br w:val="nil"/>
              <w:tr2bl w:val="nil"/>
            </w:tcBorders>
            <w:vAlign w:val="center"/>
          </w:tcPr>
          <w:p>
            <w:pPr>
              <w:autoSpaceDE w:val="0"/>
              <w:autoSpaceDN w:val="0"/>
              <w:adjustRightInd w:val="0"/>
              <w:snapToGrid w:val="0"/>
              <w:spacing w:line="300" w:lineRule="exact"/>
              <w:jc w:val="center"/>
              <w:outlineLvl w:val="3"/>
              <w:rPr>
                <w:rFonts w:ascii="Times New Roman" w:hAnsi="Times New Roman" w:eastAsia="宋体" w:cs="Times New Roman"/>
                <w:bCs/>
                <w:color w:val="000000"/>
                <w:szCs w:val="21"/>
              </w:rPr>
            </w:pPr>
            <w:r>
              <w:rPr>
                <w:rFonts w:ascii="Times New Roman" w:hAnsi="Times New Roman" w:eastAsia="宋体" w:cs="Times New Roman"/>
                <w:bCs/>
                <w:color w:val="000000"/>
                <w:szCs w:val="21"/>
              </w:rPr>
              <w:t>3.03</w:t>
            </w:r>
            <w:r>
              <w:rPr>
                <w:rFonts w:ascii="Times New Roman" w:hAnsi="Times New Roman" w:eastAsia="宋体" w:cs="Times New Roman"/>
                <w:bCs/>
                <w:color w:val="000000"/>
                <w:szCs w:val="21"/>
                <w:vertAlign w:val="superscript"/>
              </w:rPr>
              <w:t>2</w:t>
            </w:r>
            <w:r>
              <w:rPr>
                <w:rFonts w:ascii="Times New Roman" w:hAnsi="Times New Roman" w:eastAsia="宋体" w:cs="Times New Roman"/>
                <w:bCs/>
                <w:color w:val="000000"/>
                <w:szCs w:val="21"/>
              </w:rPr>
              <w:t>（低氮燃烧-国际领先）</w:t>
            </w:r>
          </w:p>
        </w:tc>
        <w:tc>
          <w:tcPr>
            <w:tcW w:w="627" w:type="pct"/>
            <w:vMerge w:val="continue"/>
            <w:tcBorders>
              <w:tl2br w:val="nil"/>
              <w:tr2bl w:val="nil"/>
            </w:tcBorders>
            <w:vAlign w:val="center"/>
          </w:tcPr>
          <w:p>
            <w:pPr>
              <w:widowControl/>
              <w:spacing w:line="300" w:lineRule="exact"/>
              <w:jc w:val="left"/>
              <w:rPr>
                <w:rFonts w:ascii="Times New Roman" w:hAnsi="Times New Roman" w:eastAsia="宋体" w:cs="Times New Roman"/>
                <w:bCs/>
                <w:color w:val="000000"/>
                <w:szCs w:val="21"/>
              </w:rPr>
            </w:pPr>
          </w:p>
        </w:tc>
      </w:tr>
    </w:tbl>
    <w:p>
      <w:pPr>
        <w:spacing w:line="280" w:lineRule="exact"/>
        <w:rPr>
          <w:rFonts w:ascii="Times New Roman" w:hAnsi="Times New Roman" w:eastAsia="宋体" w:cs="Times New Roman"/>
          <w:bCs/>
          <w:color w:val="000000"/>
          <w:sz w:val="18"/>
          <w:szCs w:val="18"/>
        </w:rPr>
      </w:pPr>
      <w:r>
        <w:rPr>
          <w:rFonts w:ascii="Times New Roman" w:hAnsi="Times New Roman" w:eastAsia="宋体" w:cs="Times New Roman"/>
          <w:bCs/>
          <w:color w:val="000000"/>
          <w:sz w:val="18"/>
          <w:szCs w:val="18"/>
        </w:rPr>
        <w:t>注：1、产污系数表中二氧化硫的产污系数是以含硫量（S）的形式表示的，其中含硫量（S，mg/m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）是指天然气中硫分含量。</w:t>
      </w:r>
    </w:p>
    <w:p>
      <w:pPr>
        <w:spacing w:line="280" w:lineRule="exact"/>
        <w:ind w:firstLine="360" w:firstLineChars="200"/>
        <w:rPr>
          <w:rFonts w:ascii="Times New Roman" w:hAnsi="Times New Roman" w:eastAsia="宋体" w:cs="Times New Roman"/>
          <w:bCs/>
          <w:color w:val="000000"/>
          <w:sz w:val="18"/>
          <w:szCs w:val="18"/>
        </w:rPr>
      </w:pPr>
      <w:r>
        <w:rPr>
          <w:rFonts w:ascii="Times New Roman" w:hAnsi="Times New Roman" w:eastAsia="宋体" w:cs="Times New Roman"/>
          <w:bCs/>
          <w:color w:val="000000"/>
          <w:sz w:val="18"/>
          <w:szCs w:val="18"/>
        </w:rPr>
        <w:t>2、低氮燃烧-国际领先技术的天然气锅炉设计NOx排放控制要求一般小于60mg/m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（@3.5%O</w:t>
      </w:r>
      <w:r>
        <w:rPr>
          <w:rFonts w:ascii="Times New Roman" w:hAnsi="Times New Roman" w:eastAsia="宋体" w:cs="Times New Roman"/>
          <w:bCs/>
          <w:color w:val="000000"/>
          <w:sz w:val="18"/>
          <w:szCs w:val="18"/>
          <w:vertAlign w:val="subscript"/>
        </w:rPr>
        <w:t>2</w:t>
      </w:r>
      <w:r>
        <w:rPr>
          <w:rFonts w:ascii="Times New Roman" w:hAnsi="Times New Roman" w:eastAsia="宋体" w:cs="Times New Roman"/>
          <w:bCs/>
          <w:color w:val="000000"/>
          <w:sz w:val="18"/>
          <w:szCs w:val="18"/>
        </w:rPr>
        <w:t>）；低氮燃烧-国内领先技术的天然气锅炉设计NOx排放控制要求一般介于60mg/m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（@3.5%O</w:t>
      </w:r>
      <w:r>
        <w:rPr>
          <w:rFonts w:ascii="Times New Roman" w:hAnsi="Times New Roman" w:eastAsia="宋体" w:cs="Times New Roman"/>
          <w:bCs/>
          <w:color w:val="000000"/>
          <w:sz w:val="18"/>
          <w:szCs w:val="18"/>
          <w:vertAlign w:val="subscript"/>
        </w:rPr>
        <w:t>2</w:t>
      </w:r>
      <w:r>
        <w:rPr>
          <w:rFonts w:ascii="Times New Roman" w:hAnsi="Times New Roman" w:eastAsia="宋体" w:cs="Times New Roman"/>
          <w:bCs/>
          <w:color w:val="000000"/>
          <w:sz w:val="18"/>
          <w:szCs w:val="18"/>
        </w:rPr>
        <w:t>）~100mg/m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（@3.5%O</w:t>
      </w:r>
      <w:r>
        <w:rPr>
          <w:rFonts w:ascii="Times New Roman" w:hAnsi="Times New Roman" w:eastAsia="宋体" w:cs="Times New Roman"/>
          <w:bCs/>
          <w:color w:val="000000"/>
          <w:sz w:val="18"/>
          <w:szCs w:val="18"/>
          <w:vertAlign w:val="subscript"/>
        </w:rPr>
        <w:t>2</w:t>
      </w:r>
      <w:r>
        <w:rPr>
          <w:rFonts w:ascii="Times New Roman" w:hAnsi="Times New Roman" w:eastAsia="宋体" w:cs="Times New Roman"/>
          <w:bCs/>
          <w:color w:val="000000"/>
          <w:sz w:val="18"/>
          <w:szCs w:val="18"/>
        </w:rPr>
        <w:t>）；低氮燃烧-国内一般技术的天然气锅炉设计NOx排放控制要求一般介于100mg/m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（@3.5%O</w:t>
      </w:r>
      <w:r>
        <w:rPr>
          <w:rFonts w:ascii="Times New Roman" w:hAnsi="Times New Roman" w:eastAsia="宋体" w:cs="Times New Roman"/>
          <w:bCs/>
          <w:color w:val="000000"/>
          <w:sz w:val="18"/>
          <w:szCs w:val="18"/>
          <w:vertAlign w:val="subscript"/>
        </w:rPr>
        <w:t>2</w:t>
      </w:r>
      <w:r>
        <w:rPr>
          <w:rFonts w:ascii="Times New Roman" w:hAnsi="Times New Roman" w:eastAsia="宋体" w:cs="Times New Roman"/>
          <w:bCs/>
          <w:color w:val="000000"/>
          <w:sz w:val="18"/>
          <w:szCs w:val="18"/>
        </w:rPr>
        <w:t>）~200mg/m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（@3.5%O</w:t>
      </w:r>
      <w:r>
        <w:rPr>
          <w:rFonts w:ascii="Times New Roman" w:hAnsi="Times New Roman" w:eastAsia="宋体" w:cs="Times New Roman"/>
          <w:bCs/>
          <w:color w:val="000000"/>
          <w:sz w:val="18"/>
          <w:szCs w:val="18"/>
          <w:vertAlign w:val="subscript"/>
        </w:rPr>
        <w:t>2</w:t>
      </w:r>
      <w:r>
        <w:rPr>
          <w:rFonts w:ascii="Times New Roman" w:hAnsi="Times New Roman" w:eastAsia="宋体" w:cs="Times New Roman"/>
          <w:bCs/>
          <w:color w:val="000000"/>
          <w:sz w:val="18"/>
          <w:szCs w:val="18"/>
        </w:rPr>
        <w:t>）。本项目采用国际领先的低氮燃烧技术。能够满足NOx排放控制要求小于50mg/m</w:t>
      </w:r>
      <w:r>
        <w:rPr>
          <w:rFonts w:ascii="Times New Roman" w:hAnsi="Times New Roman" w:eastAsia="宋体" w:cs="Times New Roman"/>
          <w:bCs/>
          <w:color w:val="000000"/>
          <w:sz w:val="18"/>
          <w:szCs w:val="18"/>
          <w:vertAlign w:val="superscript"/>
        </w:rPr>
        <w:t>3</w:t>
      </w:r>
      <w:r>
        <w:rPr>
          <w:rFonts w:ascii="Times New Roman" w:hAnsi="Times New Roman" w:eastAsia="宋体" w:cs="Times New Roman"/>
          <w:bCs/>
          <w:color w:val="000000"/>
          <w:sz w:val="18"/>
          <w:szCs w:val="18"/>
        </w:rPr>
        <w:t>。</w:t>
      </w:r>
    </w:p>
    <w:p>
      <w:pPr>
        <w:spacing w:line="460" w:lineRule="exact"/>
        <w:ind w:firstLine="560" w:firstLineChars="200"/>
        <w:jc w:val="left"/>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根据企业提供资料，本项目导热油炉供热锅炉天然气使用量约为13</w:t>
      </w:r>
      <w:r>
        <w:rPr>
          <w:rFonts w:ascii="Times New Roman" w:hAnsi="Times New Roman" w:eastAsia="宋体" w:cs="Times New Roman"/>
          <w:color w:val="000000"/>
          <w:kern w:val="0"/>
          <w:sz w:val="28"/>
          <w:szCs w:val="28"/>
        </w:rPr>
        <w:t>万m</w:t>
      </w:r>
      <w:r>
        <w:rPr>
          <w:rFonts w:ascii="Times New Roman" w:hAnsi="Times New Roman" w:eastAsia="宋体" w:cs="Times New Roman"/>
          <w:color w:val="000000"/>
          <w:kern w:val="0"/>
          <w:sz w:val="28"/>
          <w:szCs w:val="28"/>
          <w:vertAlign w:val="superscript"/>
        </w:rPr>
        <w:t>3</w:t>
      </w:r>
      <w:r>
        <w:rPr>
          <w:rFonts w:ascii="Times New Roman" w:hAnsi="Times New Roman" w:eastAsia="宋体" w:cs="Times New Roman"/>
          <w:color w:val="000000"/>
          <w:kern w:val="0"/>
          <w:sz w:val="28"/>
          <w:szCs w:val="28"/>
        </w:rPr>
        <w:t>/a</w:t>
      </w:r>
      <w:r>
        <w:rPr>
          <w:rFonts w:hint="eastAsia" w:ascii="Times New Roman" w:hAnsi="Times New Roman" w:eastAsia="宋体" w:cs="Times New Roman"/>
          <w:color w:val="000000"/>
          <w:kern w:val="0"/>
          <w:sz w:val="28"/>
          <w:szCs w:val="28"/>
        </w:rPr>
        <w:t>；烘干工序燃烧器天然气使用量约为20</w:t>
      </w:r>
      <w:r>
        <w:rPr>
          <w:rFonts w:ascii="Times New Roman" w:hAnsi="Times New Roman" w:eastAsia="宋体" w:cs="Times New Roman"/>
          <w:color w:val="000000"/>
          <w:kern w:val="0"/>
          <w:sz w:val="28"/>
          <w:szCs w:val="28"/>
        </w:rPr>
        <w:t>万m</w:t>
      </w:r>
      <w:r>
        <w:rPr>
          <w:rFonts w:ascii="Times New Roman" w:hAnsi="Times New Roman" w:eastAsia="宋体" w:cs="Times New Roman"/>
          <w:color w:val="000000"/>
          <w:kern w:val="0"/>
          <w:sz w:val="28"/>
          <w:szCs w:val="28"/>
          <w:vertAlign w:val="superscript"/>
        </w:rPr>
        <w:t>3</w:t>
      </w:r>
      <w:r>
        <w:rPr>
          <w:rFonts w:ascii="Times New Roman" w:hAnsi="Times New Roman" w:eastAsia="宋体" w:cs="Times New Roman"/>
          <w:color w:val="000000"/>
          <w:kern w:val="0"/>
          <w:sz w:val="28"/>
          <w:szCs w:val="28"/>
        </w:rPr>
        <w:t>/a</w:t>
      </w:r>
      <w:r>
        <w:rPr>
          <w:rFonts w:hint="eastAsia" w:ascii="Times New Roman" w:hAnsi="Times New Roman" w:eastAsia="宋体" w:cs="Times New Roman"/>
          <w:color w:val="000000"/>
          <w:kern w:val="0"/>
          <w:sz w:val="28"/>
          <w:szCs w:val="28"/>
        </w:rPr>
        <w:t>；</w:t>
      </w:r>
    </w:p>
    <w:p>
      <w:pPr>
        <w:spacing w:line="460" w:lineRule="exact"/>
        <w:jc w:val="center"/>
        <w:rPr>
          <w:rFonts w:ascii="Times New Roman" w:hAnsi="Times New Roman" w:eastAsia="宋体" w:cs="Times New Roman"/>
          <w:b/>
          <w:color w:val="000000"/>
          <w:sz w:val="24"/>
          <w:szCs w:val="24"/>
        </w:rPr>
      </w:pPr>
      <w:r>
        <w:rPr>
          <w:rFonts w:ascii="Times New Roman" w:hAnsi="Times New Roman" w:eastAsia="宋体" w:cs="Times New Roman"/>
          <w:b/>
          <w:color w:val="000000"/>
          <w:sz w:val="24"/>
          <w:szCs w:val="24"/>
        </w:rPr>
        <w:t>表</w:t>
      </w:r>
      <w:r>
        <w:rPr>
          <w:rFonts w:hint="eastAsia" w:ascii="Times New Roman" w:hAnsi="Times New Roman" w:eastAsia="宋体" w:cs="Times New Roman"/>
          <w:b/>
          <w:color w:val="000000"/>
          <w:sz w:val="24"/>
          <w:szCs w:val="24"/>
        </w:rPr>
        <w:t>3.1-4</w:t>
      </w:r>
      <w:r>
        <w:rPr>
          <w:rFonts w:ascii="Times New Roman" w:hAnsi="Times New Roman" w:eastAsia="宋体" w:cs="Times New Roman"/>
          <w:b/>
          <w:color w:val="000000"/>
          <w:sz w:val="24"/>
          <w:szCs w:val="24"/>
        </w:rPr>
        <w:t xml:space="preserve"> 项目废气污染物产生情况表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903"/>
        <w:gridCol w:w="1477"/>
        <w:gridCol w:w="1168"/>
        <w:gridCol w:w="932"/>
        <w:gridCol w:w="1375"/>
        <w:gridCol w:w="888"/>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22"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bCs/>
                <w:color w:val="000000"/>
                <w:szCs w:val="21"/>
              </w:rPr>
              <w:t>污染源</w:t>
            </w:r>
          </w:p>
        </w:tc>
        <w:tc>
          <w:tcPr>
            <w:tcW w:w="529"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年使用量</w:t>
            </w: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污染物名称</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单位</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产污系数</w:t>
            </w:r>
          </w:p>
        </w:tc>
        <w:tc>
          <w:tcPr>
            <w:tcW w:w="80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污染物产生量</w:t>
            </w:r>
          </w:p>
        </w:tc>
        <w:tc>
          <w:tcPr>
            <w:tcW w:w="521"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单位</w:t>
            </w:r>
          </w:p>
        </w:tc>
        <w:tc>
          <w:tcPr>
            <w:tcW w:w="521"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522" w:type="pct"/>
            <w:vMerge w:val="restar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bCs/>
                <w:color w:val="000000"/>
                <w:szCs w:val="21"/>
              </w:rPr>
              <w:t>导热油炉</w:t>
            </w:r>
          </w:p>
        </w:tc>
        <w:tc>
          <w:tcPr>
            <w:tcW w:w="529" w:type="pct"/>
            <w:vMerge w:val="restart"/>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13万m</w:t>
            </w:r>
            <w:r>
              <w:rPr>
                <w:rFonts w:ascii="Times New Roman" w:hAnsi="Times New Roman" w:eastAsia="宋体" w:cs="Times New Roman"/>
                <w:color w:val="000000"/>
                <w:kern w:val="0"/>
                <w:szCs w:val="21"/>
                <w:vertAlign w:val="superscript"/>
              </w:rPr>
              <w:t>3</w:t>
            </w:r>
            <w:r>
              <w:rPr>
                <w:rFonts w:ascii="Times New Roman" w:hAnsi="Times New Roman" w:eastAsia="宋体" w:cs="Times New Roman"/>
                <w:color w:val="000000"/>
                <w:kern w:val="0"/>
                <w:szCs w:val="21"/>
              </w:rPr>
              <w:t>/a</w:t>
            </w: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废气量</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Nm</w:t>
            </w:r>
            <w:r>
              <w:rPr>
                <w:rFonts w:ascii="Times New Roman" w:hAnsi="Times New Roman" w:eastAsia="宋体" w:cs="Times New Roman"/>
                <w:color w:val="000000"/>
                <w:kern w:val="0"/>
                <w:szCs w:val="21"/>
                <w:vertAlign w:val="superscript"/>
              </w:rPr>
              <w:t>3</w:t>
            </w:r>
            <w:r>
              <w:rPr>
                <w:rFonts w:ascii="Times New Roman" w:hAnsi="Times New Roman" w:eastAsia="宋体" w:cs="Times New Roman"/>
                <w:color w:val="000000"/>
                <w:kern w:val="0"/>
                <w:szCs w:val="21"/>
              </w:rPr>
              <w:t>/万m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107753</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140.0789</w:t>
            </w:r>
          </w:p>
        </w:tc>
        <w:tc>
          <w:tcPr>
            <w:tcW w:w="965" w:type="dxa"/>
            <w:vAlign w:val="center"/>
          </w:tcPr>
          <w:p>
            <w:pPr>
              <w:widowControl/>
              <w:wordWrap w:val="0"/>
              <w:spacing w:line="300" w:lineRule="exact"/>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万m</w:t>
            </w:r>
            <w:r>
              <w:rPr>
                <w:rFonts w:ascii="Times New Roman" w:hAnsi="Times New Roman" w:eastAsia="宋体" w:cs="Times New Roman"/>
                <w:color w:val="000000"/>
                <w:szCs w:val="21"/>
                <w:vertAlign w:val="superscript"/>
              </w:rPr>
              <w:t>3</w:t>
            </w:r>
            <w:r>
              <w:rPr>
                <w:rFonts w:ascii="Times New Roman" w:hAnsi="Times New Roman" w:eastAsia="宋体" w:cs="Times New Roman"/>
                <w:color w:val="000000"/>
                <w:szCs w:val="21"/>
              </w:rPr>
              <w:t>/a</w:t>
            </w:r>
          </w:p>
        </w:tc>
        <w:tc>
          <w:tcPr>
            <w:tcW w:w="521" w:type="pct"/>
            <w:vMerge w:val="restar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szCs w:val="21"/>
              </w:rPr>
              <w:t>8m高排气筒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529" w:type="pct"/>
            <w:vMerge w:val="continue"/>
            <w:vAlign w:val="center"/>
          </w:tcPr>
          <w:p>
            <w:pPr>
              <w:widowControl/>
              <w:spacing w:line="300" w:lineRule="exact"/>
              <w:jc w:val="center"/>
              <w:rPr>
                <w:rFonts w:ascii="Times New Roman" w:hAnsi="Times New Roman" w:eastAsia="宋体" w:cs="Times New Roman"/>
                <w:color w:val="000000"/>
                <w:kern w:val="0"/>
                <w:szCs w:val="21"/>
              </w:rPr>
            </w:pP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颗粒物</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1.039</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13.507</w:t>
            </w:r>
          </w:p>
        </w:tc>
        <w:tc>
          <w:tcPr>
            <w:tcW w:w="965" w:type="dxa"/>
            <w:vAlign w:val="center"/>
          </w:tcPr>
          <w:p>
            <w:pPr>
              <w:widowControl/>
              <w:wordWrap w:val="0"/>
              <w:spacing w:line="300" w:lineRule="exact"/>
              <w:jc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kg</w:t>
            </w:r>
            <w:r>
              <w:rPr>
                <w:rFonts w:ascii="Times New Roman" w:hAnsi="Times New Roman" w:eastAsia="宋体" w:cs="Times New Roman"/>
                <w:color w:val="000000"/>
                <w:szCs w:val="21"/>
              </w:rPr>
              <w:t>/a</w:t>
            </w:r>
          </w:p>
        </w:tc>
        <w:tc>
          <w:tcPr>
            <w:tcW w:w="521" w:type="pct"/>
            <w:vMerge w:val="continue"/>
            <w:vAlign w:val="center"/>
          </w:tcPr>
          <w:p>
            <w:pPr>
              <w:widowControl/>
              <w:wordWrap w:val="0"/>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529" w:type="pct"/>
            <w:vMerge w:val="continue"/>
            <w:vAlign w:val="center"/>
          </w:tcPr>
          <w:p>
            <w:pPr>
              <w:widowControl/>
              <w:spacing w:line="300" w:lineRule="exact"/>
              <w:jc w:val="center"/>
              <w:rPr>
                <w:rFonts w:ascii="Times New Roman" w:hAnsi="Times New Roman" w:eastAsia="宋体" w:cs="Times New Roman"/>
                <w:color w:val="000000"/>
                <w:kern w:val="0"/>
                <w:szCs w:val="21"/>
              </w:rPr>
            </w:pP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二氧化硫</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15.6</w:t>
            </w:r>
          </w:p>
        </w:tc>
        <w:tc>
          <w:tcPr>
            <w:tcW w:w="965"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w:t>
            </w:r>
            <w:r>
              <w:rPr>
                <w:rFonts w:ascii="Times New Roman" w:hAnsi="Times New Roman" w:eastAsia="宋体" w:cs="Times New Roman"/>
                <w:color w:val="000000"/>
                <w:szCs w:val="21"/>
              </w:rPr>
              <w:t>/a</w:t>
            </w:r>
          </w:p>
        </w:tc>
        <w:tc>
          <w:tcPr>
            <w:tcW w:w="521" w:type="pct"/>
            <w:vMerge w:val="continue"/>
            <w:vAlign w:val="center"/>
          </w:tcPr>
          <w:p>
            <w:pPr>
              <w:widowControl/>
              <w:wordWrap w:val="0"/>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529" w:type="pct"/>
            <w:vMerge w:val="continue"/>
            <w:vAlign w:val="center"/>
          </w:tcPr>
          <w:p>
            <w:pPr>
              <w:widowControl/>
              <w:spacing w:line="300" w:lineRule="exact"/>
              <w:jc w:val="center"/>
              <w:rPr>
                <w:rFonts w:ascii="Times New Roman" w:hAnsi="Times New Roman" w:eastAsia="宋体" w:cs="Times New Roman"/>
                <w:color w:val="000000"/>
                <w:kern w:val="0"/>
                <w:szCs w:val="21"/>
              </w:rPr>
            </w:pP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氮氧化物</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3.03</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39.39</w:t>
            </w:r>
          </w:p>
        </w:tc>
        <w:tc>
          <w:tcPr>
            <w:tcW w:w="965" w:type="dxa"/>
            <w:vAlign w:val="center"/>
          </w:tcPr>
          <w:p>
            <w:pPr>
              <w:widowControl/>
              <w:wordWrap w:val="0"/>
              <w:spacing w:line="300" w:lineRule="exact"/>
              <w:jc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kg</w:t>
            </w:r>
            <w:r>
              <w:rPr>
                <w:rFonts w:ascii="Times New Roman" w:hAnsi="Times New Roman" w:eastAsia="宋体" w:cs="Times New Roman"/>
                <w:color w:val="000000"/>
                <w:szCs w:val="21"/>
              </w:rPr>
              <w:t>/a</w:t>
            </w:r>
          </w:p>
        </w:tc>
        <w:tc>
          <w:tcPr>
            <w:tcW w:w="521" w:type="pct"/>
            <w:vMerge w:val="continue"/>
            <w:vAlign w:val="center"/>
          </w:tcPr>
          <w:p>
            <w:pPr>
              <w:widowControl/>
              <w:wordWrap w:val="0"/>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restart"/>
            <w:vAlign w:val="center"/>
          </w:tcPr>
          <w:p>
            <w:pPr>
              <w:widowControl/>
              <w:spacing w:line="300" w:lineRule="exact"/>
              <w:jc w:val="left"/>
              <w:rPr>
                <w:rFonts w:ascii="Times New Roman" w:hAnsi="Times New Roman" w:eastAsia="宋体" w:cs="Times New Roman"/>
                <w:color w:val="000000"/>
                <w:kern w:val="0"/>
                <w:szCs w:val="21"/>
              </w:rPr>
            </w:pPr>
            <w:r>
              <w:rPr>
                <w:rFonts w:ascii="Times New Roman" w:hAnsi="Times New Roman" w:eastAsia="宋体" w:cs="Times New Roman"/>
                <w:bCs/>
                <w:color w:val="000000"/>
                <w:szCs w:val="21"/>
              </w:rPr>
              <w:t>燃烧器</w:t>
            </w:r>
          </w:p>
        </w:tc>
        <w:tc>
          <w:tcPr>
            <w:tcW w:w="529" w:type="pct"/>
            <w:vMerge w:val="restart"/>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20万m</w:t>
            </w:r>
            <w:r>
              <w:rPr>
                <w:rFonts w:ascii="Times New Roman" w:hAnsi="Times New Roman" w:eastAsia="宋体" w:cs="Times New Roman"/>
                <w:color w:val="000000"/>
                <w:kern w:val="0"/>
                <w:szCs w:val="21"/>
                <w:vertAlign w:val="superscript"/>
              </w:rPr>
              <w:t>3</w:t>
            </w:r>
            <w:r>
              <w:rPr>
                <w:rFonts w:ascii="Times New Roman" w:hAnsi="Times New Roman" w:eastAsia="宋体" w:cs="Times New Roman"/>
                <w:color w:val="000000"/>
                <w:kern w:val="0"/>
                <w:szCs w:val="21"/>
              </w:rPr>
              <w:t>/a</w:t>
            </w: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废气量</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Nm</w:t>
            </w:r>
            <w:r>
              <w:rPr>
                <w:rFonts w:ascii="Times New Roman" w:hAnsi="Times New Roman" w:eastAsia="宋体" w:cs="Times New Roman"/>
                <w:color w:val="000000"/>
                <w:kern w:val="0"/>
                <w:szCs w:val="21"/>
                <w:vertAlign w:val="superscript"/>
              </w:rPr>
              <w:t>3</w:t>
            </w:r>
            <w:r>
              <w:rPr>
                <w:rFonts w:ascii="Times New Roman" w:hAnsi="Times New Roman" w:eastAsia="宋体" w:cs="Times New Roman"/>
                <w:color w:val="000000"/>
                <w:kern w:val="0"/>
                <w:szCs w:val="21"/>
              </w:rPr>
              <w:t>/万m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107753</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215.506</w:t>
            </w:r>
          </w:p>
        </w:tc>
        <w:tc>
          <w:tcPr>
            <w:tcW w:w="965" w:type="dxa"/>
            <w:vAlign w:val="center"/>
          </w:tcPr>
          <w:p>
            <w:pPr>
              <w:widowControl/>
              <w:wordWrap w:val="0"/>
              <w:spacing w:line="300" w:lineRule="exact"/>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万m</w:t>
            </w:r>
            <w:r>
              <w:rPr>
                <w:rFonts w:ascii="Times New Roman" w:hAnsi="Times New Roman" w:eastAsia="宋体" w:cs="Times New Roman"/>
                <w:color w:val="000000"/>
                <w:szCs w:val="21"/>
                <w:vertAlign w:val="superscript"/>
              </w:rPr>
              <w:t>3</w:t>
            </w:r>
            <w:r>
              <w:rPr>
                <w:rFonts w:ascii="Times New Roman" w:hAnsi="Times New Roman" w:eastAsia="宋体" w:cs="Times New Roman"/>
                <w:color w:val="000000"/>
                <w:szCs w:val="21"/>
              </w:rPr>
              <w:t>/a</w:t>
            </w:r>
          </w:p>
        </w:tc>
        <w:tc>
          <w:tcPr>
            <w:tcW w:w="521" w:type="pct"/>
            <w:vMerge w:val="restar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szCs w:val="21"/>
              </w:rPr>
              <w:t>30m高排气筒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529"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颗粒物</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1.039</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20.78</w:t>
            </w:r>
          </w:p>
        </w:tc>
        <w:tc>
          <w:tcPr>
            <w:tcW w:w="965" w:type="dxa"/>
            <w:vAlign w:val="center"/>
          </w:tcPr>
          <w:p>
            <w:pPr>
              <w:widowControl/>
              <w:wordWrap w:val="0"/>
              <w:spacing w:line="300" w:lineRule="exact"/>
              <w:jc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kg</w:t>
            </w:r>
            <w:r>
              <w:rPr>
                <w:rFonts w:ascii="Times New Roman" w:hAnsi="Times New Roman" w:eastAsia="宋体" w:cs="Times New Roman"/>
                <w:color w:val="000000"/>
                <w:szCs w:val="21"/>
              </w:rPr>
              <w:t>/a</w:t>
            </w:r>
          </w:p>
        </w:tc>
        <w:tc>
          <w:tcPr>
            <w:tcW w:w="521" w:type="pct"/>
            <w:vMerge w:val="continue"/>
            <w:vAlign w:val="center"/>
          </w:tcPr>
          <w:p>
            <w:pPr>
              <w:widowControl/>
              <w:wordWrap w:val="0"/>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529"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二氧化硫</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w:t>
            </w:r>
          </w:p>
        </w:tc>
        <w:tc>
          <w:tcPr>
            <w:tcW w:w="965"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w:t>
            </w:r>
            <w:r>
              <w:rPr>
                <w:rFonts w:ascii="Times New Roman" w:hAnsi="Times New Roman" w:eastAsia="宋体" w:cs="Times New Roman"/>
                <w:color w:val="000000"/>
                <w:szCs w:val="21"/>
              </w:rPr>
              <w:t>/a</w:t>
            </w:r>
          </w:p>
        </w:tc>
        <w:tc>
          <w:tcPr>
            <w:tcW w:w="521" w:type="pct"/>
            <w:vMerge w:val="continue"/>
            <w:vAlign w:val="center"/>
          </w:tcPr>
          <w:p>
            <w:pPr>
              <w:widowControl/>
              <w:wordWrap w:val="0"/>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22"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529" w:type="pct"/>
            <w:vMerge w:val="continue"/>
            <w:vAlign w:val="center"/>
          </w:tcPr>
          <w:p>
            <w:pPr>
              <w:widowControl/>
              <w:spacing w:line="300" w:lineRule="exact"/>
              <w:jc w:val="left"/>
              <w:rPr>
                <w:rFonts w:ascii="Times New Roman" w:hAnsi="Times New Roman" w:eastAsia="宋体" w:cs="Times New Roman"/>
                <w:color w:val="000000"/>
                <w:kern w:val="0"/>
                <w:szCs w:val="21"/>
              </w:rPr>
            </w:pPr>
          </w:p>
        </w:tc>
        <w:tc>
          <w:tcPr>
            <w:tcW w:w="86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氮氧化物</w:t>
            </w:r>
          </w:p>
        </w:tc>
        <w:tc>
          <w:tcPr>
            <w:tcW w:w="685"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kg/万m</w:t>
            </w:r>
            <w:r>
              <w:rPr>
                <w:rFonts w:ascii="Times New Roman" w:hAnsi="Times New Roman" w:eastAsia="宋体" w:cs="Times New Roman"/>
                <w:color w:val="000000"/>
                <w:kern w:val="0"/>
                <w:szCs w:val="21"/>
                <w:vertAlign w:val="superscript"/>
              </w:rPr>
              <w:t>3</w:t>
            </w:r>
          </w:p>
        </w:tc>
        <w:tc>
          <w:tcPr>
            <w:tcW w:w="547" w:type="pct"/>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3.03</w:t>
            </w:r>
          </w:p>
        </w:tc>
        <w:tc>
          <w:tcPr>
            <w:tcW w:w="1496" w:type="dxa"/>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60.6</w:t>
            </w:r>
          </w:p>
        </w:tc>
        <w:tc>
          <w:tcPr>
            <w:tcW w:w="965" w:type="dxa"/>
            <w:vAlign w:val="center"/>
          </w:tcPr>
          <w:p>
            <w:pPr>
              <w:widowControl/>
              <w:wordWrap w:val="0"/>
              <w:spacing w:line="300" w:lineRule="exact"/>
              <w:jc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kg</w:t>
            </w:r>
            <w:r>
              <w:rPr>
                <w:rFonts w:ascii="Times New Roman" w:hAnsi="Times New Roman" w:eastAsia="宋体" w:cs="Times New Roman"/>
                <w:color w:val="000000"/>
                <w:szCs w:val="21"/>
              </w:rPr>
              <w:t>/a</w:t>
            </w:r>
          </w:p>
        </w:tc>
        <w:tc>
          <w:tcPr>
            <w:tcW w:w="521" w:type="pct"/>
            <w:vMerge w:val="continue"/>
            <w:vAlign w:val="center"/>
          </w:tcPr>
          <w:p>
            <w:pPr>
              <w:widowControl/>
              <w:wordWrap w:val="0"/>
              <w:spacing w:line="300" w:lineRule="exact"/>
              <w:jc w:val="center"/>
              <w:rPr>
                <w:rFonts w:ascii="Times New Roman" w:hAnsi="Times New Roman" w:eastAsia="宋体" w:cs="Times New Roman"/>
                <w:color w:val="000000"/>
                <w:kern w:val="0"/>
                <w:szCs w:val="21"/>
              </w:rPr>
            </w:pPr>
          </w:p>
        </w:tc>
      </w:tr>
    </w:tbl>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②</w:t>
      </w:r>
      <w:r>
        <w:rPr>
          <w:rFonts w:hint="eastAsia" w:ascii="Times New Roman" w:hAnsi="Times New Roman" w:eastAsia="宋体" w:cs="Times New Roman"/>
          <w:color w:val="000000"/>
          <w:kern w:val="0"/>
          <w:sz w:val="28"/>
          <w:szCs w:val="28"/>
        </w:rPr>
        <w:t>新</w:t>
      </w:r>
      <w:r>
        <w:rPr>
          <w:rFonts w:ascii="Times New Roman" w:hAnsi="Times New Roman" w:eastAsia="宋体" w:cs="Times New Roman"/>
          <w:color w:val="000000"/>
          <w:kern w:val="0"/>
          <w:sz w:val="28"/>
          <w:szCs w:val="28"/>
        </w:rPr>
        <w:t>沥青卸料、储存</w:t>
      </w:r>
      <w:r>
        <w:rPr>
          <w:rFonts w:hint="eastAsia" w:ascii="Times New Roman" w:hAnsi="Times New Roman" w:eastAsia="宋体" w:cs="Times New Roman"/>
          <w:color w:val="000000"/>
          <w:kern w:val="0"/>
          <w:sz w:val="28"/>
          <w:szCs w:val="28"/>
        </w:rPr>
        <w:t>、输送</w:t>
      </w:r>
      <w:r>
        <w:rPr>
          <w:rFonts w:ascii="Times New Roman" w:hAnsi="Times New Roman" w:eastAsia="宋体" w:cs="Times New Roman"/>
          <w:color w:val="000000"/>
          <w:kern w:val="0"/>
          <w:sz w:val="28"/>
          <w:szCs w:val="28"/>
        </w:rPr>
        <w:t>加热</w:t>
      </w:r>
      <w:r>
        <w:rPr>
          <w:rFonts w:hint="eastAsia" w:ascii="Times New Roman" w:hAnsi="Times New Roman" w:eastAsia="宋体" w:cs="Times New Roman"/>
          <w:color w:val="000000"/>
          <w:kern w:val="0"/>
          <w:sz w:val="28"/>
          <w:szCs w:val="28"/>
        </w:rPr>
        <w:t>废气</w:t>
      </w:r>
      <w:r>
        <w:rPr>
          <w:rFonts w:ascii="Times New Roman" w:hAnsi="Times New Roman" w:eastAsia="宋体" w:cs="Times New Roman"/>
          <w:color w:val="000000"/>
          <w:kern w:val="0"/>
          <w:sz w:val="28"/>
          <w:szCs w:val="28"/>
        </w:rPr>
        <w:t>、拌合废气</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运输车辆将沥青卸料输入沥青罐以及生产过程中使用导热油对沥青罐中沥青进行加热时，会有少量沥青废气随着呼吸孔以气态形式逸出进入大气环境。项目拟在沥青卸油罐、沥青罐上方安装负压管道，收集的废气通过喷淋洗涤塔+等离子UV光氧一体机+活性炭吸附装置处理后，尾气通过15m高排气筒DA003排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参考《工业生产中的有害物质手册》第一卷（化学工业出版社，1987年12月出版）及《有机化合物污染化学》（清华大学出版社，1990年8月出版），每吨石油沥青在加热过程中可产生562.5g沥青烟气，项目沥青最大消耗量约为8000吨，则项目沥青烟产生量为4.5t/a，3.125kg/h。</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同时根据《</w:t>
      </w:r>
      <w:r>
        <w:rPr>
          <w:rFonts w:ascii="Times New Roman" w:hAnsi="Times New Roman" w:eastAsia="宋体" w:cs="Times New Roman"/>
          <w:sz w:val="28"/>
          <w:szCs w:val="28"/>
        </w:rPr>
        <w:t>连云港天丰沥青有限公司沥青搅和生产线项目报告表</w:t>
      </w:r>
      <w:r>
        <w:rPr>
          <w:rFonts w:ascii="Times New Roman" w:hAnsi="Times New Roman" w:eastAsia="宋体" w:cs="Times New Roman"/>
          <w:color w:val="000000"/>
          <w:kern w:val="0"/>
          <w:sz w:val="28"/>
          <w:szCs w:val="28"/>
        </w:rPr>
        <w:t>》项目产生苯并[a]芘气体约为0.0002t/a。</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根据《沥青烟气净化研究》（李昌建等，全国恶臭污染测试与控制研讨会，2005），沥青烟气和沥青组分近似，有机废气非甲烷总烃按沥青烟的70%计，约为3.15t/a、2.188kg/h。</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若是企业使用旧沥青混合料则</w:t>
      </w:r>
      <w:r>
        <w:rPr>
          <w:rFonts w:hint="eastAsia" w:ascii="Times New Roman" w:hAnsi="Times New Roman" w:eastAsia="宋体" w:cs="Times New Roman"/>
          <w:color w:val="000000"/>
          <w:kern w:val="0"/>
          <w:sz w:val="28"/>
          <w:szCs w:val="28"/>
        </w:rPr>
        <w:t>新沥青使用量相应的减少，故</w:t>
      </w:r>
      <w:r>
        <w:rPr>
          <w:rFonts w:ascii="Times New Roman" w:hAnsi="Times New Roman" w:eastAsia="宋体" w:cs="Times New Roman"/>
          <w:color w:val="000000"/>
          <w:kern w:val="0"/>
          <w:sz w:val="28"/>
          <w:szCs w:val="28"/>
        </w:rPr>
        <w:t>此部分废气</w:t>
      </w:r>
      <w:r>
        <w:rPr>
          <w:rFonts w:hint="eastAsia" w:ascii="Times New Roman" w:hAnsi="Times New Roman" w:eastAsia="宋体" w:cs="Times New Roman"/>
          <w:color w:val="000000"/>
          <w:kern w:val="0"/>
          <w:sz w:val="28"/>
          <w:szCs w:val="28"/>
        </w:rPr>
        <w:t>也会</w:t>
      </w:r>
      <w:r>
        <w:rPr>
          <w:rFonts w:ascii="Times New Roman" w:hAnsi="Times New Roman" w:eastAsia="宋体" w:cs="Times New Roman"/>
          <w:color w:val="000000"/>
          <w:kern w:val="0"/>
          <w:sz w:val="28"/>
          <w:szCs w:val="28"/>
        </w:rPr>
        <w:t>相应的减少。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③旧沥青混合料加热废气</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color w:val="0000FF"/>
          <w:sz w:val="28"/>
          <w:szCs w:val="18"/>
        </w:rPr>
      </w:pPr>
      <w:r>
        <w:rPr>
          <w:rFonts w:ascii="Times New Roman" w:hAnsi="Times New Roman" w:eastAsia="宋体" w:cs="Times New Roman"/>
          <w:color w:val="000000"/>
          <w:kern w:val="0"/>
          <w:sz w:val="28"/>
          <w:szCs w:val="28"/>
        </w:rPr>
        <w:t>旧沥青混合料加热过程中产生的废气经负压收集后通过布袋除尘器处理，尾气通过30m高排气筒DA002排放。干燥机内采用烟气直接加热，加热温度为</w:t>
      </w:r>
      <w:r>
        <w:rPr>
          <w:rFonts w:hint="eastAsia" w:ascii="Times New Roman" w:hAnsi="Times New Roman" w:eastAsia="宋体" w:cs="Times New Roman"/>
          <w:color w:val="000000"/>
          <w:kern w:val="0"/>
          <w:sz w:val="28"/>
          <w:szCs w:val="28"/>
        </w:rPr>
        <w:t>700-800</w:t>
      </w:r>
      <w:r>
        <w:rPr>
          <w:rFonts w:ascii="Times New Roman" w:hAnsi="Times New Roman" w:eastAsia="宋体" w:cs="Times New Roman"/>
          <w:color w:val="000000"/>
          <w:kern w:val="0"/>
          <w:sz w:val="28"/>
          <w:szCs w:val="28"/>
        </w:rPr>
        <w:t>℃，</w:t>
      </w:r>
      <w:r>
        <w:rPr>
          <w:rFonts w:hint="eastAsia" w:ascii="Times New Roman" w:hAnsi="Times New Roman" w:eastAsia="宋体" w:cs="Times New Roman"/>
          <w:sz w:val="28"/>
          <w:szCs w:val="18"/>
        </w:rPr>
        <w:t>则产生的沥青烟气在干燥机中进行燃烧，同时将产生的废气经管道收集后再次排入干燥机进料口，对沥青烟气进行</w:t>
      </w:r>
      <w:r>
        <w:rPr>
          <w:rFonts w:hint="eastAsia" w:ascii="Times New Roman" w:hAnsi="Times New Roman" w:eastAsia="宋体" w:cs="Times New Roman"/>
          <w:sz w:val="28"/>
          <w:szCs w:val="18"/>
          <w:lang w:val="en-US" w:eastAsia="zh-CN"/>
        </w:rPr>
        <w:t>二次</w:t>
      </w:r>
      <w:r>
        <w:rPr>
          <w:rFonts w:hint="eastAsia" w:ascii="Times New Roman" w:hAnsi="Times New Roman" w:eastAsia="宋体" w:cs="Times New Roman"/>
          <w:sz w:val="28"/>
          <w:szCs w:val="18"/>
        </w:rPr>
        <w:t>燃烧净化处理</w:t>
      </w:r>
      <w:r>
        <w:rPr>
          <w:rFonts w:hint="eastAsia" w:ascii="Times New Roman" w:hAnsi="Times New Roman" w:eastAsia="宋体" w:cs="Times New Roman"/>
          <w:color w:val="0000FF"/>
          <w:sz w:val="28"/>
          <w:szCs w:val="18"/>
        </w:rPr>
        <w:t>。</w:t>
      </w:r>
      <w:r>
        <w:rPr>
          <w:rFonts w:ascii="Times New Roman" w:hAnsi="Times New Roman" w:eastAsia="宋体" w:cs="Times New Roman"/>
          <w:color w:val="0000FF"/>
          <w:sz w:val="28"/>
          <w:szCs w:val="18"/>
        </w:rPr>
        <w:t>旧沥青混合料</w:t>
      </w:r>
      <w:r>
        <w:rPr>
          <w:rFonts w:hint="eastAsia" w:ascii="Times New Roman" w:hAnsi="Times New Roman" w:eastAsia="宋体" w:cs="Times New Roman"/>
          <w:color w:val="0000FF"/>
          <w:sz w:val="28"/>
          <w:szCs w:val="18"/>
        </w:rPr>
        <w:t>干燥机产生的沥青烟气在</w:t>
      </w:r>
      <w:r>
        <w:rPr>
          <w:rFonts w:ascii="Times New Roman" w:hAnsi="Times New Roman" w:eastAsia="宋体" w:cs="Times New Roman"/>
          <w:color w:val="0000FF"/>
          <w:sz w:val="28"/>
          <w:szCs w:val="18"/>
        </w:rPr>
        <w:t>旧沥青混合料</w:t>
      </w:r>
      <w:r>
        <w:rPr>
          <w:rFonts w:hint="eastAsia" w:ascii="Times New Roman" w:hAnsi="Times New Roman" w:eastAsia="宋体" w:cs="Times New Roman"/>
          <w:color w:val="0000FF"/>
          <w:sz w:val="28"/>
          <w:szCs w:val="18"/>
        </w:rPr>
        <w:t>干燥机中进行</w:t>
      </w:r>
      <w:r>
        <w:rPr>
          <w:rFonts w:hint="eastAsia" w:ascii="Times New Roman" w:hAnsi="Times New Roman" w:eastAsia="宋体" w:cs="Times New Roman"/>
          <w:color w:val="0000FF"/>
          <w:sz w:val="28"/>
          <w:szCs w:val="18"/>
          <w:lang w:val="en-US" w:eastAsia="zh-CN"/>
        </w:rPr>
        <w:t>二次</w:t>
      </w:r>
      <w:r>
        <w:rPr>
          <w:rFonts w:hint="eastAsia" w:ascii="Times New Roman" w:hAnsi="Times New Roman" w:eastAsia="宋体" w:cs="Times New Roman"/>
          <w:color w:val="0000FF"/>
          <w:sz w:val="28"/>
          <w:szCs w:val="18"/>
        </w:rPr>
        <w:t>燃烧净化后的废气和燃烧废气及粉尘经</w:t>
      </w:r>
      <w:r>
        <w:rPr>
          <w:rFonts w:hint="eastAsia" w:ascii="Times New Roman" w:hAnsi="Times New Roman" w:eastAsia="宋体" w:cs="Times New Roman"/>
          <w:color w:val="0000FF"/>
          <w:sz w:val="28"/>
          <w:szCs w:val="18"/>
          <w:lang w:val="en-US" w:eastAsia="zh-CN"/>
        </w:rPr>
        <w:t>布袋除尘器处理后由</w:t>
      </w:r>
      <w:r>
        <w:rPr>
          <w:rFonts w:ascii="Times New Roman" w:hAnsi="Times New Roman" w:eastAsia="宋体" w:cs="Times New Roman"/>
          <w:color w:val="0000FF"/>
          <w:sz w:val="28"/>
          <w:szCs w:val="18"/>
        </w:rPr>
        <w:t>DA002</w:t>
      </w:r>
      <w:r>
        <w:rPr>
          <w:rFonts w:hint="eastAsia" w:ascii="Times New Roman" w:hAnsi="Times New Roman" w:eastAsia="宋体" w:cs="Times New Roman"/>
          <w:color w:val="0000FF"/>
          <w:sz w:val="28"/>
          <w:szCs w:val="18"/>
          <w:lang w:val="en-US" w:eastAsia="zh-CN"/>
        </w:rPr>
        <w:t>排气筒</w:t>
      </w:r>
      <w:r>
        <w:rPr>
          <w:rFonts w:hint="eastAsia" w:ascii="Times New Roman" w:hAnsi="Times New Roman" w:eastAsia="宋体" w:cs="Times New Roman"/>
          <w:color w:val="0000FF"/>
          <w:sz w:val="28"/>
          <w:szCs w:val="18"/>
        </w:rPr>
        <w:t>排出。</w:t>
      </w:r>
      <w:r>
        <w:rPr>
          <w:rFonts w:hint="eastAsia" w:ascii="Times New Roman" w:hAnsi="Times New Roman" w:eastAsia="宋体" w:cs="Times New Roman"/>
          <w:color w:val="0000FF"/>
          <w:sz w:val="28"/>
          <w:szCs w:val="18"/>
          <w:lang w:eastAsia="zh-CN"/>
        </w:rPr>
        <w:t>（</w:t>
      </w:r>
      <w:r>
        <w:rPr>
          <w:rFonts w:hint="eastAsia" w:ascii="Times New Roman" w:hAnsi="Times New Roman" w:eastAsia="宋体" w:cs="Times New Roman"/>
          <w:color w:val="0000FF"/>
          <w:sz w:val="28"/>
          <w:szCs w:val="18"/>
          <w:lang w:val="en-US" w:eastAsia="zh-CN"/>
        </w:rPr>
        <w:t>因</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生产过程中需要进行补风，故</w:t>
      </w:r>
      <w:r>
        <w:rPr>
          <w:rFonts w:hint="eastAsia" w:ascii="Times New Roman" w:hAnsi="Times New Roman" w:eastAsia="宋体" w:cs="Times New Roman"/>
          <w:color w:val="0000FF"/>
          <w:sz w:val="28"/>
          <w:szCs w:val="18"/>
          <w:lang w:val="en-US" w:eastAsia="zh-CN"/>
        </w:rPr>
        <w:t>二次</w:t>
      </w:r>
      <w:r>
        <w:rPr>
          <w:rFonts w:hint="eastAsia" w:ascii="Times New Roman" w:hAnsi="Times New Roman" w:eastAsia="宋体" w:cs="Times New Roman"/>
          <w:color w:val="0000FF"/>
          <w:sz w:val="28"/>
          <w:szCs w:val="18"/>
        </w:rPr>
        <w:t>燃烧净化处理</w:t>
      </w:r>
      <w:r>
        <w:rPr>
          <w:rFonts w:hint="eastAsia" w:ascii="Times New Roman" w:hAnsi="Times New Roman" w:eastAsia="宋体" w:cs="Times New Roman"/>
          <w:color w:val="0000FF"/>
          <w:sz w:val="28"/>
          <w:szCs w:val="18"/>
          <w:lang w:val="en-US" w:eastAsia="zh-CN"/>
        </w:rPr>
        <w:t>后的废气部分经管道直接接到布袋除尘器处理后由</w:t>
      </w:r>
      <w:r>
        <w:rPr>
          <w:rFonts w:ascii="Times New Roman" w:hAnsi="Times New Roman" w:eastAsia="宋体" w:cs="Times New Roman"/>
          <w:color w:val="0000FF"/>
          <w:sz w:val="28"/>
          <w:szCs w:val="18"/>
        </w:rPr>
        <w:t>DA002</w:t>
      </w:r>
      <w:r>
        <w:rPr>
          <w:rFonts w:hint="eastAsia" w:ascii="Times New Roman" w:hAnsi="Times New Roman" w:eastAsia="宋体" w:cs="Times New Roman"/>
          <w:color w:val="0000FF"/>
          <w:sz w:val="28"/>
          <w:szCs w:val="18"/>
          <w:lang w:val="en-US" w:eastAsia="zh-CN"/>
        </w:rPr>
        <w:t>排气筒</w:t>
      </w:r>
      <w:r>
        <w:rPr>
          <w:rFonts w:hint="eastAsia" w:ascii="Times New Roman" w:hAnsi="Times New Roman" w:eastAsia="宋体" w:cs="Times New Roman"/>
          <w:color w:val="0000FF"/>
          <w:sz w:val="28"/>
          <w:szCs w:val="18"/>
        </w:rPr>
        <w:t>排出</w:t>
      </w:r>
      <w:r>
        <w:rPr>
          <w:rFonts w:hint="eastAsia" w:ascii="Times New Roman" w:hAnsi="Times New Roman" w:eastAsia="宋体" w:cs="Times New Roman"/>
          <w:color w:val="0000FF"/>
          <w:sz w:val="28"/>
          <w:szCs w:val="18"/>
          <w:lang w:eastAsia="zh-CN"/>
        </w:rPr>
        <w:t>，</w:t>
      </w:r>
      <w:r>
        <w:rPr>
          <w:rFonts w:hint="eastAsia" w:ascii="Times New Roman" w:hAnsi="Times New Roman" w:eastAsia="宋体" w:cs="Times New Roman"/>
          <w:color w:val="0000FF"/>
          <w:sz w:val="28"/>
          <w:szCs w:val="18"/>
          <w:lang w:val="en-US" w:eastAsia="zh-CN"/>
        </w:rPr>
        <w:t>部分经</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后</w:t>
      </w:r>
      <w:r>
        <w:rPr>
          <w:rFonts w:hint="eastAsia" w:ascii="Times New Roman" w:hAnsi="Times New Roman" w:eastAsia="宋体" w:cs="Times New Roman"/>
          <w:color w:val="0000FF"/>
          <w:sz w:val="28"/>
          <w:szCs w:val="18"/>
          <w:lang w:val="en-US" w:eastAsia="zh-CN"/>
        </w:rPr>
        <w:t>接到布袋除尘器处理后由</w:t>
      </w:r>
      <w:r>
        <w:rPr>
          <w:rFonts w:ascii="Times New Roman" w:hAnsi="Times New Roman" w:eastAsia="宋体" w:cs="Times New Roman"/>
          <w:color w:val="0000FF"/>
          <w:sz w:val="28"/>
          <w:szCs w:val="18"/>
        </w:rPr>
        <w:t>DA002</w:t>
      </w:r>
      <w:r>
        <w:rPr>
          <w:rFonts w:hint="eastAsia" w:ascii="Times New Roman" w:hAnsi="Times New Roman" w:eastAsia="宋体" w:cs="Times New Roman"/>
          <w:color w:val="0000FF"/>
          <w:sz w:val="28"/>
          <w:szCs w:val="18"/>
          <w:lang w:val="en-US" w:eastAsia="zh-CN"/>
        </w:rPr>
        <w:t>排气筒</w:t>
      </w:r>
      <w:r>
        <w:rPr>
          <w:rFonts w:hint="eastAsia" w:ascii="Times New Roman" w:hAnsi="Times New Roman" w:eastAsia="宋体" w:cs="Times New Roman"/>
          <w:color w:val="0000FF"/>
          <w:sz w:val="28"/>
          <w:szCs w:val="18"/>
        </w:rPr>
        <w:t>排出</w:t>
      </w:r>
      <w:r>
        <w:rPr>
          <w:rFonts w:hint="eastAsia" w:ascii="Times New Roman" w:hAnsi="Times New Roman" w:eastAsia="宋体" w:cs="Times New Roman"/>
          <w:color w:val="0000FF"/>
          <w:sz w:val="28"/>
          <w:szCs w:val="1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FF"/>
          <w:kern w:val="0"/>
          <w:sz w:val="28"/>
          <w:szCs w:val="28"/>
        </w:rPr>
      </w:pPr>
      <w:r>
        <w:rPr>
          <w:rFonts w:ascii="Times New Roman" w:hAnsi="Times New Roman" w:eastAsia="宋体" w:cs="Times New Roman"/>
          <w:color w:val="0000FF"/>
          <w:kern w:val="0"/>
          <w:sz w:val="28"/>
          <w:szCs w:val="28"/>
        </w:rPr>
        <w:t>故</w:t>
      </w:r>
      <w:r>
        <w:rPr>
          <w:rFonts w:hint="eastAsia" w:ascii="Times New Roman" w:hAnsi="Times New Roman" w:eastAsia="宋体" w:cs="Times New Roman"/>
          <w:color w:val="0000FF"/>
          <w:kern w:val="0"/>
          <w:sz w:val="28"/>
          <w:szCs w:val="28"/>
          <w:lang w:val="en-US" w:eastAsia="zh-CN"/>
        </w:rPr>
        <w:t>本项</w:t>
      </w:r>
      <w:bookmarkStart w:id="22" w:name="_GoBack"/>
      <w:r>
        <w:rPr>
          <w:rFonts w:hint="eastAsia" w:ascii="Times New Roman" w:hAnsi="Times New Roman" w:eastAsia="宋体" w:cs="Times New Roman"/>
          <w:color w:val="0000FF"/>
          <w:kern w:val="0"/>
          <w:sz w:val="28"/>
          <w:szCs w:val="28"/>
          <w:lang w:val="en-US" w:eastAsia="zh-CN"/>
        </w:rPr>
        <w:t>目</w:t>
      </w:r>
      <w:r>
        <w:rPr>
          <w:rFonts w:ascii="Times New Roman" w:hAnsi="Times New Roman" w:eastAsia="宋体" w:cs="Times New Roman"/>
          <w:color w:val="0000FF"/>
          <w:kern w:val="0"/>
          <w:sz w:val="28"/>
          <w:szCs w:val="28"/>
        </w:rPr>
        <w:t>干燥机内有机废气进行充分燃烧后排放</w:t>
      </w:r>
      <w:r>
        <w:rPr>
          <w:rFonts w:hint="eastAsia" w:ascii="Times New Roman" w:hAnsi="Times New Roman" w:eastAsia="宋体" w:cs="Times New Roman"/>
          <w:color w:val="0000FF"/>
          <w:kern w:val="0"/>
          <w:sz w:val="28"/>
          <w:szCs w:val="28"/>
        </w:rPr>
        <w:t>，</w:t>
      </w:r>
      <w:r>
        <w:rPr>
          <w:rFonts w:ascii="Times New Roman" w:hAnsi="Times New Roman" w:eastAsia="宋体" w:cs="Times New Roman"/>
          <w:color w:val="0000FF"/>
          <w:kern w:val="0"/>
          <w:sz w:val="28"/>
          <w:szCs w:val="28"/>
        </w:rPr>
        <w:t>去除效率按照90%核算</w:t>
      </w:r>
      <w:r>
        <w:rPr>
          <w:rFonts w:hint="eastAsia" w:ascii="Times New Roman" w:hAnsi="Times New Roman" w:eastAsia="宋体" w:cs="Times New Roman"/>
          <w:color w:val="0000FF"/>
          <w:kern w:val="0"/>
          <w:sz w:val="28"/>
          <w:szCs w:val="28"/>
          <w:lang w:eastAsia="zh-CN"/>
        </w:rPr>
        <w:t>（</w:t>
      </w:r>
      <w:r>
        <w:rPr>
          <w:rFonts w:hint="eastAsia" w:ascii="Times New Roman" w:hAnsi="Times New Roman" w:eastAsia="宋体" w:cs="Times New Roman"/>
          <w:color w:val="0000FF"/>
          <w:sz w:val="28"/>
          <w:szCs w:val="18"/>
          <w:lang w:val="en-US" w:eastAsia="zh-CN"/>
        </w:rPr>
        <w:t>部分废气经</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后</w:t>
      </w:r>
      <w:r>
        <w:rPr>
          <w:rFonts w:hint="eastAsia" w:ascii="Times New Roman" w:hAnsi="Times New Roman" w:eastAsia="宋体" w:cs="Times New Roman"/>
          <w:color w:val="0000FF"/>
          <w:sz w:val="28"/>
          <w:szCs w:val="18"/>
          <w:lang w:val="en-US" w:eastAsia="zh-CN"/>
        </w:rPr>
        <w:t>接到布袋除尘器处理</w:t>
      </w:r>
      <w:r>
        <w:rPr>
          <w:rFonts w:hint="eastAsia" w:ascii="Times New Roman" w:hAnsi="Times New Roman" w:eastAsia="宋体" w:cs="Times New Roman"/>
          <w:color w:val="0000FF"/>
          <w:sz w:val="28"/>
          <w:szCs w:val="18"/>
          <w:lang w:eastAsia="zh-CN"/>
        </w:rPr>
        <w:t>，</w:t>
      </w:r>
      <w:r>
        <w:rPr>
          <w:rFonts w:hint="eastAsia" w:ascii="Times New Roman" w:hAnsi="Times New Roman" w:eastAsia="宋体" w:cs="Times New Roman"/>
          <w:color w:val="0000FF"/>
          <w:sz w:val="28"/>
          <w:szCs w:val="18"/>
          <w:lang w:val="en-US" w:eastAsia="zh-CN"/>
        </w:rPr>
        <w:t>此部分废气经过</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时会经过燃烧净化，但因此时废气已在</w:t>
      </w:r>
      <w:r>
        <w:rPr>
          <w:rFonts w:ascii="Times New Roman" w:hAnsi="Times New Roman" w:eastAsia="宋体" w:cs="Times New Roman"/>
          <w:color w:val="0000FF"/>
          <w:kern w:val="0"/>
          <w:sz w:val="28"/>
          <w:szCs w:val="28"/>
        </w:rPr>
        <w:t>旧沥青混合料</w:t>
      </w:r>
      <w:r>
        <w:rPr>
          <w:rFonts w:hint="eastAsia" w:ascii="Times New Roman" w:hAnsi="Times New Roman" w:eastAsia="宋体" w:cs="Times New Roman"/>
          <w:color w:val="0000FF"/>
          <w:kern w:val="0"/>
          <w:sz w:val="28"/>
          <w:szCs w:val="28"/>
          <w:lang w:val="en-US" w:eastAsia="zh-CN"/>
        </w:rPr>
        <w:t>干燥筒中进行了二次燃烧，废气浓度较低，导致去除效率较低，且部分废气不经</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燃烧净化，故本次评价忽略沥青废气在</w:t>
      </w:r>
      <w:r>
        <w:rPr>
          <w:rFonts w:ascii="Times New Roman" w:hAnsi="Times New Roman" w:eastAsia="宋体" w:cs="Times New Roman"/>
          <w:color w:val="0000FF"/>
          <w:sz w:val="28"/>
          <w:szCs w:val="18"/>
        </w:rPr>
        <w:t>石子和砂子干燥筒</w:t>
      </w:r>
      <w:r>
        <w:rPr>
          <w:rFonts w:hint="eastAsia" w:ascii="Times New Roman" w:hAnsi="Times New Roman" w:eastAsia="宋体" w:cs="Times New Roman"/>
          <w:color w:val="0000FF"/>
          <w:sz w:val="28"/>
          <w:szCs w:val="18"/>
          <w:lang w:val="en-US" w:eastAsia="zh-CN"/>
        </w:rPr>
        <w:t>内的燃烧净化效率</w:t>
      </w:r>
      <w:r>
        <w:rPr>
          <w:rFonts w:hint="eastAsia" w:ascii="Times New Roman" w:hAnsi="Times New Roman" w:eastAsia="宋体" w:cs="Times New Roman"/>
          <w:color w:val="0000FF"/>
          <w:kern w:val="0"/>
          <w:sz w:val="28"/>
          <w:szCs w:val="28"/>
          <w:lang w:eastAsia="zh-CN"/>
        </w:rPr>
        <w:t>）</w:t>
      </w:r>
      <w:r>
        <w:rPr>
          <w:rFonts w:ascii="Times New Roman" w:hAnsi="Times New Roman" w:eastAsia="宋体" w:cs="Times New Roman"/>
          <w:color w:val="0000FF"/>
          <w:kern w:val="0"/>
          <w:sz w:val="28"/>
          <w:szCs w:val="28"/>
        </w:rPr>
        <w:t>。</w:t>
      </w:r>
    </w:p>
    <w:bookmarkEnd w:id="22"/>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参考《工业生产中的有害物质手册》第一卷（化学工业出版社，1987年12月出版）及《有机化合物污染化学》（清华大学出版社，1990年8月出版），每吨石油沥青在加热过程中可产生562.5g沥青烟气，项目旧沥青混合料中沥青最大消耗量约为2400吨，则项目沥青烟产生量为1.35t/a，0.938kg/h。</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同时根据《</w:t>
      </w:r>
      <w:r>
        <w:rPr>
          <w:rFonts w:ascii="Times New Roman" w:hAnsi="Times New Roman" w:eastAsia="宋体" w:cs="Times New Roman"/>
          <w:sz w:val="28"/>
          <w:szCs w:val="28"/>
        </w:rPr>
        <w:t>连云港天丰沥青有限公司沥青搅和生产线项目报告表</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中苯并芘产污系数计算，</w:t>
      </w:r>
      <w:r>
        <w:rPr>
          <w:rFonts w:ascii="Times New Roman" w:hAnsi="Times New Roman" w:eastAsia="宋体" w:cs="Times New Roman"/>
          <w:color w:val="000000"/>
          <w:kern w:val="0"/>
          <w:sz w:val="28"/>
          <w:szCs w:val="28"/>
        </w:rPr>
        <w:t>项目旧沥青混合料加热工序产生苯并[a]芘气体约为0.00006t/a。</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根据《沥青烟气净化研究》（李昌建等，全国恶臭污染测试与控制研讨会，2005），沥青烟气和沥青组分近似，有机废气非甲烷总烃按沥青烟的70%计，约为0.945t/a、0.6563kg/h。</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若是企业使用旧沥青混合料则</w:t>
      </w:r>
      <w:r>
        <w:rPr>
          <w:rFonts w:hint="eastAsia" w:ascii="Times New Roman" w:hAnsi="Times New Roman" w:eastAsia="宋体" w:cs="Times New Roman"/>
          <w:color w:val="000000"/>
          <w:kern w:val="0"/>
          <w:sz w:val="28"/>
          <w:szCs w:val="28"/>
        </w:rPr>
        <w:t>新沥青使用量相应的减少，故</w:t>
      </w:r>
      <w:r>
        <w:rPr>
          <w:rFonts w:ascii="Times New Roman" w:hAnsi="Times New Roman" w:eastAsia="宋体" w:cs="Times New Roman"/>
          <w:color w:val="000000"/>
          <w:kern w:val="0"/>
          <w:sz w:val="28"/>
          <w:szCs w:val="28"/>
        </w:rPr>
        <w:t>搅拌废气</w:t>
      </w:r>
      <w:r>
        <w:rPr>
          <w:rFonts w:hint="eastAsia" w:ascii="Times New Roman" w:hAnsi="Times New Roman" w:eastAsia="宋体" w:cs="Times New Roman"/>
          <w:color w:val="000000"/>
          <w:kern w:val="0"/>
          <w:sz w:val="28"/>
          <w:szCs w:val="28"/>
        </w:rPr>
        <w:t>也会</w:t>
      </w:r>
      <w:r>
        <w:rPr>
          <w:rFonts w:ascii="Times New Roman" w:hAnsi="Times New Roman" w:eastAsia="宋体" w:cs="Times New Roman"/>
          <w:color w:val="000000"/>
          <w:kern w:val="0"/>
          <w:sz w:val="28"/>
          <w:szCs w:val="28"/>
        </w:rPr>
        <w:t>相应的减少，</w:t>
      </w:r>
      <w:r>
        <w:rPr>
          <w:rFonts w:hint="eastAsia" w:ascii="Times New Roman" w:hAnsi="Times New Roman" w:eastAsia="宋体" w:cs="Times New Roman"/>
          <w:color w:val="000000"/>
          <w:kern w:val="0"/>
          <w:sz w:val="28"/>
          <w:szCs w:val="28"/>
        </w:rPr>
        <w:t>所以</w:t>
      </w:r>
      <w:r>
        <w:rPr>
          <w:rFonts w:ascii="Times New Roman" w:hAnsi="Times New Roman" w:eastAsia="宋体" w:cs="Times New Roman"/>
          <w:color w:val="000000"/>
          <w:kern w:val="0"/>
          <w:sz w:val="28"/>
          <w:szCs w:val="28"/>
        </w:rPr>
        <w:t>旧沥青混合料沥青烟只用于分析达标情况，不加入总量合计。</w:t>
      </w:r>
    </w:p>
    <w:p>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ascii="Times New Roman" w:hAnsi="Times New Roman" w:eastAsia="宋体" w:cs="Times New Roman"/>
          <w:sz w:val="28"/>
          <w:szCs w:val="28"/>
        </w:rPr>
      </w:pPr>
      <w:r>
        <w:rPr>
          <w:rFonts w:ascii="Times New Roman" w:hAnsi="Times New Roman" w:eastAsia="宋体" w:cs="Times New Roman"/>
          <w:sz w:val="28"/>
          <w:szCs w:val="28"/>
        </w:rPr>
        <w:t>项目有组织废气排放情况见表</w:t>
      </w:r>
      <w:r>
        <w:rPr>
          <w:rFonts w:hint="eastAsia" w:ascii="Times New Roman" w:hAnsi="Times New Roman" w:eastAsia="宋体" w:cs="Times New Roman"/>
          <w:sz w:val="28"/>
          <w:szCs w:val="28"/>
        </w:rPr>
        <w:t>3.1-5</w:t>
      </w:r>
      <w:r>
        <w:rPr>
          <w:rFonts w:ascii="Times New Roman" w:hAnsi="Times New Roman" w:eastAsia="宋体" w:cs="Times New Roman"/>
          <w:sz w:val="28"/>
          <w:szCs w:val="28"/>
        </w:rPr>
        <w:t>。</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宋体" w:cs="Times New Roman"/>
          <w:b/>
          <w:sz w:val="24"/>
          <w:szCs w:val="24"/>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rPr>
        <w:t>3.1-5</w:t>
      </w:r>
      <w:r>
        <w:rPr>
          <w:rFonts w:ascii="Times New Roman" w:hAnsi="Times New Roman" w:eastAsia="宋体" w:cs="Times New Roman"/>
          <w:b/>
          <w:sz w:val="24"/>
          <w:szCs w:val="24"/>
        </w:rPr>
        <w:t>有组织废气排放产生源强</w:t>
      </w:r>
    </w:p>
    <w:tbl>
      <w:tblPr>
        <w:tblStyle w:val="3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92"/>
        <w:gridCol w:w="592"/>
        <w:gridCol w:w="367"/>
        <w:gridCol w:w="690"/>
        <w:gridCol w:w="765"/>
        <w:gridCol w:w="841"/>
        <w:gridCol w:w="686"/>
        <w:gridCol w:w="686"/>
        <w:gridCol w:w="807"/>
        <w:gridCol w:w="556"/>
        <w:gridCol w:w="578"/>
        <w:gridCol w:w="686"/>
        <w:gridCol w:w="4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15" w:hRule="atLeast"/>
          <w:jc w:val="center"/>
        </w:trPr>
        <w:tc>
          <w:tcPr>
            <w:tcW w:w="355" w:type="pct"/>
            <w:vMerge w:val="restart"/>
            <w:vAlign w:val="center"/>
          </w:tcPr>
          <w:p>
            <w:pPr>
              <w:pStyle w:val="132"/>
              <w:rPr>
                <w:color w:val="auto"/>
              </w:rPr>
            </w:pPr>
            <w:r>
              <w:rPr>
                <w:color w:val="auto"/>
              </w:rPr>
              <w:t>污染源</w:t>
            </w:r>
          </w:p>
        </w:tc>
        <w:tc>
          <w:tcPr>
            <w:tcW w:w="355" w:type="pct"/>
            <w:vMerge w:val="restart"/>
            <w:vAlign w:val="center"/>
          </w:tcPr>
          <w:p>
            <w:pPr>
              <w:pStyle w:val="132"/>
              <w:rPr>
                <w:color w:val="auto"/>
              </w:rPr>
            </w:pPr>
            <w:r>
              <w:rPr>
                <w:color w:val="auto"/>
              </w:rPr>
              <w:t>污染物名称</w:t>
            </w:r>
          </w:p>
        </w:tc>
        <w:tc>
          <w:tcPr>
            <w:tcW w:w="220" w:type="pct"/>
            <w:vMerge w:val="restart"/>
            <w:vAlign w:val="center"/>
          </w:tcPr>
          <w:p>
            <w:pPr>
              <w:pStyle w:val="132"/>
              <w:rPr>
                <w:color w:val="auto"/>
              </w:rPr>
            </w:pPr>
            <w:r>
              <w:rPr>
                <w:color w:val="auto"/>
              </w:rPr>
              <w:t>风量m</w:t>
            </w:r>
            <w:r>
              <w:rPr>
                <w:color w:val="auto"/>
                <w:vertAlign w:val="superscript"/>
              </w:rPr>
              <w:t>3</w:t>
            </w:r>
            <w:r>
              <w:rPr>
                <w:color w:val="auto"/>
              </w:rPr>
              <w:t>/h</w:t>
            </w:r>
          </w:p>
        </w:tc>
        <w:tc>
          <w:tcPr>
            <w:tcW w:w="1378" w:type="pct"/>
            <w:gridSpan w:val="3"/>
            <w:noWrap/>
            <w:vAlign w:val="center"/>
          </w:tcPr>
          <w:p>
            <w:pPr>
              <w:pStyle w:val="132"/>
              <w:rPr>
                <w:color w:val="auto"/>
              </w:rPr>
            </w:pPr>
            <w:r>
              <w:rPr>
                <w:color w:val="auto"/>
              </w:rPr>
              <w:t>产生状况</w:t>
            </w:r>
          </w:p>
        </w:tc>
        <w:tc>
          <w:tcPr>
            <w:tcW w:w="412" w:type="pct"/>
            <w:vMerge w:val="restart"/>
            <w:vAlign w:val="center"/>
          </w:tcPr>
          <w:p>
            <w:pPr>
              <w:pStyle w:val="132"/>
              <w:rPr>
                <w:color w:val="auto"/>
              </w:rPr>
            </w:pPr>
            <w:r>
              <w:rPr>
                <w:color w:val="auto"/>
              </w:rPr>
              <w:t>治理措施</w:t>
            </w:r>
          </w:p>
        </w:tc>
        <w:tc>
          <w:tcPr>
            <w:tcW w:w="1578" w:type="pct"/>
            <w:gridSpan w:val="4"/>
          </w:tcPr>
          <w:p>
            <w:pPr>
              <w:pStyle w:val="132"/>
              <w:rPr>
                <w:color w:val="auto"/>
              </w:rPr>
            </w:pPr>
            <w:r>
              <w:rPr>
                <w:color w:val="auto"/>
              </w:rPr>
              <w:t>排放状况</w:t>
            </w:r>
          </w:p>
        </w:tc>
        <w:tc>
          <w:tcPr>
            <w:tcW w:w="698" w:type="pct"/>
            <w:gridSpan w:val="2"/>
            <w:vAlign w:val="center"/>
          </w:tcPr>
          <w:p>
            <w:pPr>
              <w:pStyle w:val="132"/>
              <w:rPr>
                <w:color w:val="auto"/>
              </w:rPr>
            </w:pPr>
            <w:r>
              <w:rPr>
                <w:color w:val="auto"/>
              </w:rPr>
              <w:t>排放源参数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30" w:hRule="atLeast"/>
          <w:jc w:val="center"/>
        </w:trPr>
        <w:tc>
          <w:tcPr>
            <w:tcW w:w="355" w:type="pct"/>
            <w:vMerge w:val="continue"/>
            <w:vAlign w:val="center"/>
          </w:tcPr>
          <w:p>
            <w:pPr>
              <w:pStyle w:val="132"/>
              <w:rPr>
                <w:color w:val="auto"/>
              </w:rPr>
            </w:pPr>
          </w:p>
        </w:tc>
        <w:tc>
          <w:tcPr>
            <w:tcW w:w="355" w:type="pct"/>
            <w:vMerge w:val="continue"/>
            <w:vAlign w:val="center"/>
          </w:tcPr>
          <w:p>
            <w:pPr>
              <w:pStyle w:val="132"/>
              <w:rPr>
                <w:color w:val="auto"/>
              </w:rPr>
            </w:pPr>
          </w:p>
        </w:tc>
        <w:tc>
          <w:tcPr>
            <w:tcW w:w="220" w:type="pct"/>
            <w:vMerge w:val="continue"/>
            <w:vAlign w:val="center"/>
          </w:tcPr>
          <w:p>
            <w:pPr>
              <w:pStyle w:val="132"/>
              <w:rPr>
                <w:color w:val="auto"/>
              </w:rPr>
            </w:pPr>
          </w:p>
        </w:tc>
        <w:tc>
          <w:tcPr>
            <w:tcW w:w="414" w:type="pct"/>
            <w:vAlign w:val="center"/>
          </w:tcPr>
          <w:p>
            <w:pPr>
              <w:pStyle w:val="132"/>
              <w:rPr>
                <w:color w:val="auto"/>
              </w:rPr>
            </w:pPr>
            <w:r>
              <w:rPr>
                <w:color w:val="auto"/>
              </w:rPr>
              <w:t>浓度</w:t>
            </w:r>
          </w:p>
          <w:p>
            <w:pPr>
              <w:pStyle w:val="132"/>
              <w:rPr>
                <w:color w:val="auto"/>
              </w:rPr>
            </w:pPr>
            <w:r>
              <w:rPr>
                <w:color w:val="auto"/>
              </w:rPr>
              <w:t>(mg/m</w:t>
            </w:r>
            <w:r>
              <w:rPr>
                <w:color w:val="auto"/>
                <w:vertAlign w:val="superscript"/>
              </w:rPr>
              <w:t>3</w:t>
            </w:r>
            <w:r>
              <w:rPr>
                <w:color w:val="auto"/>
              </w:rPr>
              <w:t>)</w:t>
            </w:r>
          </w:p>
        </w:tc>
        <w:tc>
          <w:tcPr>
            <w:tcW w:w="459" w:type="pct"/>
            <w:vAlign w:val="center"/>
          </w:tcPr>
          <w:p>
            <w:pPr>
              <w:pStyle w:val="132"/>
              <w:rPr>
                <w:color w:val="auto"/>
              </w:rPr>
            </w:pPr>
            <w:r>
              <w:rPr>
                <w:color w:val="auto"/>
              </w:rPr>
              <w:t>速率</w:t>
            </w:r>
          </w:p>
          <w:p>
            <w:pPr>
              <w:pStyle w:val="132"/>
              <w:rPr>
                <w:color w:val="auto"/>
              </w:rPr>
            </w:pPr>
            <w:r>
              <w:rPr>
                <w:color w:val="auto"/>
              </w:rPr>
              <w:t>(kg/h)</w:t>
            </w:r>
          </w:p>
        </w:tc>
        <w:tc>
          <w:tcPr>
            <w:tcW w:w="504" w:type="pct"/>
            <w:vAlign w:val="center"/>
          </w:tcPr>
          <w:p>
            <w:pPr>
              <w:pStyle w:val="132"/>
              <w:rPr>
                <w:color w:val="auto"/>
              </w:rPr>
            </w:pPr>
            <w:r>
              <w:rPr>
                <w:color w:val="auto"/>
              </w:rPr>
              <w:t>产生量</w:t>
            </w:r>
          </w:p>
          <w:p>
            <w:pPr>
              <w:pStyle w:val="132"/>
              <w:rPr>
                <w:color w:val="auto"/>
              </w:rPr>
            </w:pPr>
            <w:r>
              <w:rPr>
                <w:color w:val="auto"/>
              </w:rPr>
              <w:t>（t/a）</w:t>
            </w:r>
          </w:p>
        </w:tc>
        <w:tc>
          <w:tcPr>
            <w:tcW w:w="412" w:type="pct"/>
            <w:vMerge w:val="continue"/>
            <w:vAlign w:val="center"/>
          </w:tcPr>
          <w:p>
            <w:pPr>
              <w:pStyle w:val="132"/>
              <w:rPr>
                <w:color w:val="auto"/>
              </w:rPr>
            </w:pPr>
          </w:p>
        </w:tc>
        <w:tc>
          <w:tcPr>
            <w:tcW w:w="412" w:type="pct"/>
            <w:vAlign w:val="center"/>
          </w:tcPr>
          <w:p>
            <w:pPr>
              <w:pStyle w:val="132"/>
              <w:rPr>
                <w:color w:val="auto"/>
              </w:rPr>
            </w:pPr>
            <w:r>
              <w:rPr>
                <w:color w:val="auto"/>
              </w:rPr>
              <w:t>浓度</w:t>
            </w:r>
          </w:p>
          <w:p>
            <w:pPr>
              <w:pStyle w:val="132"/>
              <w:rPr>
                <w:color w:val="auto"/>
              </w:rPr>
            </w:pPr>
            <w:r>
              <w:rPr>
                <w:color w:val="auto"/>
              </w:rPr>
              <w:t>(mg/m</w:t>
            </w:r>
            <w:r>
              <w:rPr>
                <w:color w:val="auto"/>
                <w:vertAlign w:val="superscript"/>
              </w:rPr>
              <w:t>3</w:t>
            </w:r>
            <w:r>
              <w:rPr>
                <w:color w:val="auto"/>
              </w:rPr>
              <w:t>)</w:t>
            </w:r>
          </w:p>
        </w:tc>
        <w:tc>
          <w:tcPr>
            <w:tcW w:w="485" w:type="pct"/>
            <w:vAlign w:val="center"/>
          </w:tcPr>
          <w:p>
            <w:pPr>
              <w:pStyle w:val="132"/>
              <w:rPr>
                <w:color w:val="auto"/>
              </w:rPr>
            </w:pPr>
            <w:r>
              <w:rPr>
                <w:color w:val="auto"/>
              </w:rPr>
              <w:t>速率</w:t>
            </w:r>
          </w:p>
          <w:p>
            <w:pPr>
              <w:pStyle w:val="132"/>
              <w:rPr>
                <w:color w:val="auto"/>
              </w:rPr>
            </w:pPr>
            <w:r>
              <w:rPr>
                <w:color w:val="auto"/>
              </w:rPr>
              <w:t>(kg/h)</w:t>
            </w:r>
          </w:p>
        </w:tc>
        <w:tc>
          <w:tcPr>
            <w:tcW w:w="334" w:type="pct"/>
            <w:vAlign w:val="center"/>
          </w:tcPr>
          <w:p>
            <w:pPr>
              <w:pStyle w:val="132"/>
              <w:rPr>
                <w:color w:val="auto"/>
              </w:rPr>
            </w:pPr>
            <w:r>
              <w:rPr>
                <w:color w:val="auto"/>
              </w:rPr>
              <w:t>排放量</w:t>
            </w:r>
          </w:p>
          <w:p>
            <w:pPr>
              <w:pStyle w:val="132"/>
              <w:rPr>
                <w:color w:val="auto"/>
              </w:rPr>
            </w:pPr>
            <w:r>
              <w:rPr>
                <w:color w:val="auto"/>
              </w:rPr>
              <w:t>（t/a）</w:t>
            </w:r>
          </w:p>
        </w:tc>
        <w:tc>
          <w:tcPr>
            <w:tcW w:w="345" w:type="pct"/>
          </w:tcPr>
          <w:p>
            <w:pPr>
              <w:pStyle w:val="132"/>
              <w:rPr>
                <w:color w:val="auto"/>
              </w:rPr>
            </w:pPr>
            <w:r>
              <w:rPr>
                <w:color w:val="auto"/>
              </w:rPr>
              <w:t>去除率(%)</w:t>
            </w:r>
          </w:p>
        </w:tc>
        <w:tc>
          <w:tcPr>
            <w:tcW w:w="412" w:type="pct"/>
            <w:vAlign w:val="center"/>
          </w:tcPr>
          <w:p>
            <w:pPr>
              <w:pStyle w:val="132"/>
              <w:rPr>
                <w:color w:val="auto"/>
              </w:rPr>
            </w:pPr>
            <w:r>
              <w:rPr>
                <w:color w:val="auto"/>
              </w:rPr>
              <w:t>高度（m）</w:t>
            </w:r>
          </w:p>
        </w:tc>
        <w:tc>
          <w:tcPr>
            <w:tcW w:w="285" w:type="pct"/>
            <w:vAlign w:val="center"/>
          </w:tcPr>
          <w:p>
            <w:pPr>
              <w:pStyle w:val="132"/>
              <w:rPr>
                <w:color w:val="auto"/>
              </w:rPr>
            </w:pPr>
            <w:r>
              <w:rPr>
                <w:color w:val="auto"/>
              </w:rPr>
              <w:t>直径(m)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355" w:type="pct"/>
            <w:vMerge w:val="restart"/>
            <w:noWrap/>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导热油炉</w:t>
            </w:r>
          </w:p>
        </w:tc>
        <w:tc>
          <w:tcPr>
            <w:tcW w:w="355" w:type="pct"/>
            <w:noWrap/>
            <w:vAlign w:val="center"/>
          </w:tcPr>
          <w:p>
            <w:pPr>
              <w:widowControl/>
              <w:wordWrap w:val="0"/>
              <w:spacing w:line="300" w:lineRule="exact"/>
              <w:jc w:val="center"/>
              <w:rPr>
                <w:rFonts w:ascii="Times New Roman" w:hAnsi="Times New Roman" w:eastAsia="宋体" w:cs="Times New Roman"/>
                <w:szCs w:val="24"/>
              </w:rPr>
            </w:pPr>
            <w:r>
              <w:rPr>
                <w:rFonts w:ascii="Times New Roman" w:hAnsi="Times New Roman" w:eastAsia="宋体" w:cs="Times New Roman"/>
                <w:color w:val="000000"/>
                <w:kern w:val="0"/>
                <w:szCs w:val="21"/>
              </w:rPr>
              <w:t>颗粒物</w:t>
            </w:r>
          </w:p>
        </w:tc>
        <w:tc>
          <w:tcPr>
            <w:tcW w:w="220" w:type="pct"/>
            <w:vMerge w:val="restart"/>
            <w:vAlign w:val="center"/>
          </w:tcPr>
          <w:p>
            <w:pPr>
              <w:pStyle w:val="132"/>
              <w:rPr>
                <w:color w:val="auto"/>
              </w:rPr>
            </w:pPr>
            <w:r>
              <w:rPr>
                <w:color w:val="auto"/>
              </w:rPr>
              <w:t>973</w:t>
            </w:r>
          </w:p>
        </w:tc>
        <w:tc>
          <w:tcPr>
            <w:tcW w:w="414"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9.64</w:t>
            </w:r>
          </w:p>
        </w:tc>
        <w:tc>
          <w:tcPr>
            <w:tcW w:w="459"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0.0094</w:t>
            </w:r>
          </w:p>
        </w:tc>
        <w:tc>
          <w:tcPr>
            <w:tcW w:w="504"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0.0135</w:t>
            </w:r>
          </w:p>
        </w:tc>
        <w:tc>
          <w:tcPr>
            <w:tcW w:w="412" w:type="pct"/>
            <w:vMerge w:val="restart"/>
            <w:vAlign w:val="center"/>
          </w:tcPr>
          <w:p>
            <w:pPr>
              <w:pStyle w:val="132"/>
              <w:rPr>
                <w:color w:val="auto"/>
              </w:rPr>
            </w:pPr>
            <w:r>
              <w:rPr>
                <w:color w:val="auto"/>
              </w:rPr>
              <w:t>/</w:t>
            </w:r>
          </w:p>
        </w:tc>
        <w:tc>
          <w:tcPr>
            <w:tcW w:w="412"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9.64</w:t>
            </w:r>
          </w:p>
        </w:tc>
        <w:tc>
          <w:tcPr>
            <w:tcW w:w="48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0.0094</w:t>
            </w:r>
          </w:p>
        </w:tc>
        <w:tc>
          <w:tcPr>
            <w:tcW w:w="334"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0.0135</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w:t>
            </w:r>
          </w:p>
        </w:tc>
        <w:tc>
          <w:tcPr>
            <w:tcW w:w="412" w:type="pct"/>
            <w:vMerge w:val="restar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8m</w:t>
            </w:r>
          </w:p>
        </w:tc>
        <w:tc>
          <w:tcPr>
            <w:tcW w:w="285" w:type="pct"/>
            <w:vMerge w:val="restart"/>
            <w:vAlign w:val="center"/>
          </w:tcPr>
          <w:p>
            <w:pPr>
              <w:pStyle w:val="132"/>
              <w:rPr>
                <w:color w:val="auto"/>
              </w:rPr>
            </w:pPr>
            <w:r>
              <w:rPr>
                <w:color w:val="auto"/>
              </w:rP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60"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widowControl/>
              <w:wordWrap w:val="0"/>
              <w:spacing w:line="300" w:lineRule="exact"/>
              <w:jc w:val="center"/>
              <w:rPr>
                <w:rFonts w:ascii="Times New Roman" w:hAnsi="Times New Roman" w:eastAsia="宋体" w:cs="Times New Roman"/>
                <w:szCs w:val="24"/>
              </w:rPr>
            </w:pPr>
            <w:r>
              <w:rPr>
                <w:rFonts w:ascii="Times New Roman" w:hAnsi="Times New Roman" w:eastAsia="宋体" w:cs="Times New Roman"/>
                <w:color w:val="000000"/>
                <w:kern w:val="0"/>
                <w:szCs w:val="21"/>
              </w:rPr>
              <w:t>二氧化硫</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11.13</w:t>
            </w:r>
          </w:p>
        </w:tc>
        <w:tc>
          <w:tcPr>
            <w:tcW w:w="459"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0.0108</w:t>
            </w:r>
          </w:p>
        </w:tc>
        <w:tc>
          <w:tcPr>
            <w:tcW w:w="504"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0.0156</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11.13</w:t>
            </w:r>
          </w:p>
        </w:tc>
        <w:tc>
          <w:tcPr>
            <w:tcW w:w="48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0.0108</w:t>
            </w:r>
          </w:p>
        </w:tc>
        <w:tc>
          <w:tcPr>
            <w:tcW w:w="334"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0.0156</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widowControl/>
              <w:wordWrap w:val="0"/>
              <w:spacing w:line="300" w:lineRule="exact"/>
              <w:jc w:val="center"/>
              <w:rPr>
                <w:rFonts w:ascii="Times New Roman" w:hAnsi="Times New Roman" w:eastAsia="宋体" w:cs="Times New Roman"/>
                <w:szCs w:val="24"/>
              </w:rPr>
            </w:pPr>
            <w:r>
              <w:rPr>
                <w:rFonts w:ascii="Times New Roman" w:hAnsi="Times New Roman" w:eastAsia="宋体" w:cs="Times New Roman"/>
                <w:color w:val="000000"/>
                <w:kern w:val="0"/>
                <w:szCs w:val="21"/>
              </w:rPr>
              <w:t>氮氧化物</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28.11</w:t>
            </w:r>
          </w:p>
        </w:tc>
        <w:tc>
          <w:tcPr>
            <w:tcW w:w="459"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0.0274</w:t>
            </w:r>
          </w:p>
        </w:tc>
        <w:tc>
          <w:tcPr>
            <w:tcW w:w="504" w:type="pct"/>
            <w:noWrap/>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0.0394</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28.11</w:t>
            </w:r>
          </w:p>
        </w:tc>
        <w:tc>
          <w:tcPr>
            <w:tcW w:w="48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0.0274</w:t>
            </w:r>
          </w:p>
        </w:tc>
        <w:tc>
          <w:tcPr>
            <w:tcW w:w="334"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color w:val="000000"/>
                <w:kern w:val="0"/>
                <w:szCs w:val="21"/>
                <w:lang w:bidi="ar"/>
              </w:rPr>
              <w:t>0.0394</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5" w:hRule="atLeast"/>
          <w:jc w:val="center"/>
        </w:trPr>
        <w:tc>
          <w:tcPr>
            <w:tcW w:w="355" w:type="pct"/>
            <w:vMerge w:val="restart"/>
            <w:noWrap/>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旧沥青混合料石子、砂加热加热</w:t>
            </w:r>
          </w:p>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颗粒物</w:t>
            </w:r>
          </w:p>
        </w:tc>
        <w:tc>
          <w:tcPr>
            <w:tcW w:w="220" w:type="pct"/>
            <w:vMerge w:val="restart"/>
            <w:vAlign w:val="center"/>
          </w:tcPr>
          <w:p>
            <w:pPr>
              <w:pStyle w:val="132"/>
              <w:rPr>
                <w:color w:val="auto"/>
              </w:rPr>
            </w:pPr>
            <w:r>
              <w:rPr>
                <w:color w:val="auto"/>
              </w:rPr>
              <w:t>140000</w:t>
            </w: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0.10</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0.0144</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0.0208</w:t>
            </w:r>
          </w:p>
        </w:tc>
        <w:tc>
          <w:tcPr>
            <w:tcW w:w="412" w:type="pct"/>
            <w:vMerge w:val="restart"/>
            <w:vAlign w:val="center"/>
          </w:tcPr>
          <w:p>
            <w:pPr>
              <w:pStyle w:val="132"/>
            </w:pPr>
            <w:r>
              <w:rPr>
                <w:color w:val="auto"/>
              </w:rPr>
              <w:t>布袋除尘器</w:t>
            </w:r>
          </w:p>
        </w:tc>
        <w:tc>
          <w:tcPr>
            <w:tcW w:w="412"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0.021</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0.0003</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0.0004</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98</w:t>
            </w:r>
          </w:p>
        </w:tc>
        <w:tc>
          <w:tcPr>
            <w:tcW w:w="412" w:type="pct"/>
            <w:vMerge w:val="restart"/>
            <w:vAlign w:val="center"/>
          </w:tcPr>
          <w:p>
            <w:pPr>
              <w:pStyle w:val="132"/>
              <w:rPr>
                <w:color w:val="auto"/>
              </w:rPr>
            </w:pPr>
            <w:r>
              <w:rPr>
                <w:color w:val="auto"/>
              </w:rPr>
              <w:t>30m</w:t>
            </w:r>
          </w:p>
        </w:tc>
        <w:tc>
          <w:tcPr>
            <w:tcW w:w="285" w:type="pct"/>
            <w:vMerge w:val="restart"/>
            <w:vAlign w:val="center"/>
          </w:tcPr>
          <w:p>
            <w:pPr>
              <w:pStyle w:val="132"/>
              <w:rPr>
                <w:color w:val="auto"/>
              </w:rPr>
            </w:pPr>
            <w:r>
              <w:rPr>
                <w:color w:val="auto"/>
              </w:rPr>
              <w:t>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二氧化硫</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0.12</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0.0167</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0.024</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0.12</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0.0167</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0.024</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widowControl/>
              <w:wordWrap w:val="0"/>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氮氧化物</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0.30</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0.0421</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0.0606</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0.30</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0.0421</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0.0606</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5"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spacing w:line="240" w:lineRule="exact"/>
              <w:jc w:val="center"/>
              <w:rPr>
                <w:rFonts w:ascii="Times New Roman" w:hAnsi="Times New Roman" w:eastAsia="宋体" w:cs="Times New Roman"/>
                <w:color w:val="000000"/>
                <w:kern w:val="0"/>
                <w:szCs w:val="21"/>
              </w:rPr>
            </w:pPr>
            <w:r>
              <w:rPr>
                <w:rFonts w:ascii="Times New Roman" w:hAnsi="Times New Roman" w:eastAsia="宋体" w:cs="Times New Roman"/>
                <w:kern w:val="0"/>
                <w:szCs w:val="21"/>
              </w:rPr>
              <w:t>沥青烟</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6.7</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0.938</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1.35</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0.67</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0.0938</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0.135</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90</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spacing w:line="240" w:lineRule="exact"/>
              <w:jc w:val="center"/>
              <w:rPr>
                <w:rFonts w:ascii="Times New Roman" w:hAnsi="Times New Roman" w:eastAsia="宋体" w:cs="Times New Roman"/>
                <w:color w:val="000000"/>
                <w:kern w:val="0"/>
                <w:szCs w:val="21"/>
              </w:rPr>
            </w:pPr>
            <w:r>
              <w:rPr>
                <w:rFonts w:ascii="Times New Roman" w:hAnsi="Times New Roman" w:eastAsia="宋体" w:cs="Times New Roman"/>
                <w:kern w:val="0"/>
                <w:szCs w:val="21"/>
              </w:rPr>
              <w:t>苯并芘</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0.0003</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0.000042</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0.00006</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0.00003</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0.0000042</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0.000006</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90</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continue"/>
            <w:noWrap/>
            <w:vAlign w:val="center"/>
          </w:tcPr>
          <w:p>
            <w:pPr>
              <w:widowControl/>
              <w:wordWrap w:val="0"/>
              <w:spacing w:line="300" w:lineRule="exact"/>
              <w:jc w:val="center"/>
              <w:rPr>
                <w:rFonts w:ascii="Times New Roman" w:hAnsi="Times New Roman" w:eastAsia="宋体" w:cs="Times New Roman"/>
                <w:color w:val="000000"/>
                <w:kern w:val="0"/>
                <w:szCs w:val="21"/>
              </w:rPr>
            </w:pPr>
          </w:p>
        </w:tc>
        <w:tc>
          <w:tcPr>
            <w:tcW w:w="355" w:type="pct"/>
            <w:noWrap/>
            <w:vAlign w:val="center"/>
          </w:tcPr>
          <w:p>
            <w:pPr>
              <w:spacing w:line="240" w:lineRule="exact"/>
              <w:jc w:val="center"/>
              <w:rPr>
                <w:rFonts w:ascii="Times New Roman" w:hAnsi="Times New Roman" w:eastAsia="宋体" w:cs="Times New Roman"/>
                <w:color w:val="000000"/>
                <w:kern w:val="0"/>
                <w:szCs w:val="21"/>
              </w:rPr>
            </w:pPr>
            <w:r>
              <w:rPr>
                <w:rFonts w:ascii="Times New Roman" w:hAnsi="Times New Roman" w:eastAsia="宋体" w:cs="Times New Roman"/>
                <w:kern w:val="0"/>
                <w:szCs w:val="21"/>
              </w:rPr>
              <w:t>非甲烷总烃</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4.69</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0.6563</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0.945</w:t>
            </w:r>
          </w:p>
        </w:tc>
        <w:tc>
          <w:tcPr>
            <w:tcW w:w="412" w:type="pct"/>
            <w:vMerge w:val="continue"/>
            <w:vAlign w:val="center"/>
          </w:tcPr>
          <w:p>
            <w:pPr>
              <w:pStyle w:val="132"/>
            </w:pPr>
          </w:p>
        </w:tc>
        <w:tc>
          <w:tcPr>
            <w:tcW w:w="412"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0.47 </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0.06563</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0.0945</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90</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restart"/>
            <w:noWrap/>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卸料、储存</w:t>
            </w:r>
            <w:r>
              <w:rPr>
                <w:rFonts w:hint="eastAsia" w:ascii="Times New Roman" w:hAnsi="Times New Roman" w:eastAsia="宋体" w:cs="Times New Roman"/>
                <w:kern w:val="0"/>
                <w:szCs w:val="21"/>
              </w:rPr>
              <w:t>、输送</w:t>
            </w:r>
            <w:r>
              <w:rPr>
                <w:rFonts w:ascii="Times New Roman" w:hAnsi="Times New Roman" w:eastAsia="宋体" w:cs="Times New Roman"/>
                <w:kern w:val="0"/>
                <w:szCs w:val="21"/>
              </w:rPr>
              <w:t>加热、拌合</w:t>
            </w:r>
          </w:p>
        </w:tc>
        <w:tc>
          <w:tcPr>
            <w:tcW w:w="355" w:type="pct"/>
            <w:noWrap/>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沥青烟</w:t>
            </w:r>
          </w:p>
        </w:tc>
        <w:tc>
          <w:tcPr>
            <w:tcW w:w="220" w:type="pct"/>
            <w:vMerge w:val="restart"/>
            <w:vAlign w:val="center"/>
          </w:tcPr>
          <w:p>
            <w:pPr>
              <w:pStyle w:val="132"/>
              <w:rPr>
                <w:color w:val="auto"/>
              </w:rPr>
            </w:pPr>
            <w:r>
              <w:rPr>
                <w:color w:val="auto"/>
              </w:rPr>
              <w:t>30000</w:t>
            </w: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104.17</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3.125</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4.5</w:t>
            </w:r>
          </w:p>
        </w:tc>
        <w:tc>
          <w:tcPr>
            <w:tcW w:w="412" w:type="pct"/>
            <w:vMerge w:val="restart"/>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喷淋洗涤塔+等离子UV光氧一体机+活性炭吸附</w:t>
            </w:r>
          </w:p>
        </w:tc>
        <w:tc>
          <w:tcPr>
            <w:tcW w:w="412" w:type="pct"/>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 xml:space="preserve">5.21 </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0.16 </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0.23 </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95</w:t>
            </w:r>
          </w:p>
        </w:tc>
        <w:tc>
          <w:tcPr>
            <w:tcW w:w="412" w:type="pct"/>
            <w:vMerge w:val="restart"/>
            <w:vAlign w:val="center"/>
          </w:tcPr>
          <w:p>
            <w:pPr>
              <w:pStyle w:val="132"/>
              <w:rPr>
                <w:color w:val="auto"/>
              </w:rPr>
            </w:pPr>
            <w:r>
              <w:rPr>
                <w:color w:val="auto"/>
              </w:rPr>
              <w:t>15</w:t>
            </w:r>
          </w:p>
        </w:tc>
        <w:tc>
          <w:tcPr>
            <w:tcW w:w="285" w:type="pct"/>
            <w:vMerge w:val="restart"/>
            <w:vAlign w:val="center"/>
          </w:tcPr>
          <w:p>
            <w:pPr>
              <w:pStyle w:val="132"/>
              <w:rPr>
                <w:color w:val="auto"/>
              </w:rPr>
            </w:pPr>
            <w:r>
              <w:rPr>
                <w:color w:val="auto"/>
              </w:rPr>
              <w:t>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5" w:hRule="atLeast"/>
          <w:jc w:val="center"/>
        </w:trPr>
        <w:tc>
          <w:tcPr>
            <w:tcW w:w="355" w:type="pct"/>
            <w:vMerge w:val="continue"/>
            <w:noWrap/>
            <w:vAlign w:val="center"/>
          </w:tcPr>
          <w:p>
            <w:pPr>
              <w:spacing w:line="240" w:lineRule="exact"/>
              <w:jc w:val="center"/>
              <w:rPr>
                <w:rFonts w:ascii="Times New Roman" w:hAnsi="Times New Roman" w:eastAsia="宋体" w:cs="Times New Roman"/>
                <w:kern w:val="0"/>
                <w:szCs w:val="21"/>
              </w:rPr>
            </w:pPr>
          </w:p>
        </w:tc>
        <w:tc>
          <w:tcPr>
            <w:tcW w:w="355" w:type="pct"/>
            <w:noWrap/>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苯并芘</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0.0046</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0.00014</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0.0002</w:t>
            </w:r>
          </w:p>
        </w:tc>
        <w:tc>
          <w:tcPr>
            <w:tcW w:w="412" w:type="pct"/>
            <w:vMerge w:val="continue"/>
            <w:vAlign w:val="center"/>
          </w:tcPr>
          <w:p>
            <w:pPr>
              <w:spacing w:line="240" w:lineRule="exact"/>
              <w:jc w:val="center"/>
              <w:rPr>
                <w:rFonts w:ascii="Times New Roman" w:hAnsi="Times New Roman" w:eastAsia="宋体" w:cs="Times New Roman"/>
                <w:kern w:val="0"/>
                <w:szCs w:val="21"/>
              </w:rPr>
            </w:pPr>
          </w:p>
        </w:tc>
        <w:tc>
          <w:tcPr>
            <w:tcW w:w="412" w:type="pct"/>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 xml:space="preserve">0.00023 </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0.00001 </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0.00001 </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95</w:t>
            </w:r>
          </w:p>
        </w:tc>
        <w:tc>
          <w:tcPr>
            <w:tcW w:w="412" w:type="pct"/>
            <w:vMerge w:val="continue"/>
            <w:vAlign w:val="center"/>
          </w:tcPr>
          <w:p>
            <w:pPr>
              <w:pStyle w:val="132"/>
            </w:pPr>
          </w:p>
        </w:tc>
        <w:tc>
          <w:tcPr>
            <w:tcW w:w="285" w:type="pct"/>
            <w:vMerge w:val="continue"/>
            <w:vAlign w:val="center"/>
          </w:tcPr>
          <w:p>
            <w:pPr>
              <w:pStyle w:val="13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5" w:hRule="atLeast"/>
          <w:jc w:val="center"/>
        </w:trPr>
        <w:tc>
          <w:tcPr>
            <w:tcW w:w="355" w:type="pct"/>
            <w:vMerge w:val="continue"/>
            <w:noWrap/>
            <w:vAlign w:val="center"/>
          </w:tcPr>
          <w:p>
            <w:pPr>
              <w:spacing w:line="240" w:lineRule="exact"/>
              <w:jc w:val="center"/>
              <w:rPr>
                <w:rFonts w:ascii="Times New Roman" w:hAnsi="Times New Roman" w:eastAsia="宋体" w:cs="Times New Roman"/>
                <w:kern w:val="0"/>
                <w:szCs w:val="21"/>
              </w:rPr>
            </w:pPr>
          </w:p>
        </w:tc>
        <w:tc>
          <w:tcPr>
            <w:tcW w:w="355" w:type="pct"/>
            <w:noWrap/>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非甲烷总烃</w:t>
            </w:r>
          </w:p>
        </w:tc>
        <w:tc>
          <w:tcPr>
            <w:tcW w:w="220" w:type="pct"/>
            <w:vMerge w:val="continue"/>
            <w:vAlign w:val="center"/>
          </w:tcPr>
          <w:p>
            <w:pPr>
              <w:pStyle w:val="132"/>
              <w:rPr>
                <w:color w:val="auto"/>
              </w:rPr>
            </w:pPr>
          </w:p>
        </w:tc>
        <w:tc>
          <w:tcPr>
            <w:tcW w:w="41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72.93</w:t>
            </w:r>
          </w:p>
        </w:tc>
        <w:tc>
          <w:tcPr>
            <w:tcW w:w="459"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2.188</w:t>
            </w:r>
          </w:p>
        </w:tc>
        <w:tc>
          <w:tcPr>
            <w:tcW w:w="504" w:type="pct"/>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3.15</w:t>
            </w:r>
          </w:p>
        </w:tc>
        <w:tc>
          <w:tcPr>
            <w:tcW w:w="412" w:type="pct"/>
            <w:vMerge w:val="continue"/>
            <w:vAlign w:val="center"/>
          </w:tcPr>
          <w:p>
            <w:pPr>
              <w:spacing w:line="240" w:lineRule="exact"/>
              <w:jc w:val="center"/>
              <w:rPr>
                <w:rFonts w:ascii="Times New Roman" w:hAnsi="Times New Roman" w:eastAsia="宋体" w:cs="Times New Roman"/>
                <w:kern w:val="0"/>
                <w:szCs w:val="21"/>
              </w:rPr>
            </w:pPr>
          </w:p>
        </w:tc>
        <w:tc>
          <w:tcPr>
            <w:tcW w:w="412" w:type="pct"/>
            <w:vAlign w:val="center"/>
          </w:tcPr>
          <w:p>
            <w:pPr>
              <w:widowControl/>
              <w:jc w:val="center"/>
              <w:textAlignment w:val="center"/>
              <w:rPr>
                <w:rFonts w:ascii="Times New Roman" w:hAnsi="Times New Roman" w:eastAsia="宋体" w:cs="Times New Roman"/>
                <w:kern w:val="0"/>
                <w:szCs w:val="21"/>
              </w:rPr>
            </w:pPr>
            <w:r>
              <w:rPr>
                <w:rFonts w:ascii="Times New Roman" w:hAnsi="Times New Roman" w:eastAsia="宋体" w:cs="Times New Roman"/>
                <w:color w:val="000000"/>
                <w:kern w:val="0"/>
                <w:szCs w:val="21"/>
                <w:lang w:bidi="ar"/>
              </w:rPr>
              <w:t xml:space="preserve">3.65 </w:t>
            </w:r>
          </w:p>
        </w:tc>
        <w:tc>
          <w:tcPr>
            <w:tcW w:w="485"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0.11 </w:t>
            </w:r>
          </w:p>
        </w:tc>
        <w:tc>
          <w:tcPr>
            <w:tcW w:w="334" w:type="pct"/>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0.16 </w:t>
            </w:r>
          </w:p>
        </w:tc>
        <w:tc>
          <w:tcPr>
            <w:tcW w:w="345" w:type="pct"/>
            <w:vAlign w:val="center"/>
          </w:tcPr>
          <w:p>
            <w:pPr>
              <w:widowControl/>
              <w:jc w:val="center"/>
              <w:textAlignment w:val="center"/>
              <w:rPr>
                <w:rFonts w:ascii="Times New Roman" w:hAnsi="Times New Roman" w:eastAsia="宋体" w:cs="Times New Roman"/>
                <w:szCs w:val="24"/>
              </w:rPr>
            </w:pPr>
            <w:r>
              <w:rPr>
                <w:rFonts w:ascii="Times New Roman" w:hAnsi="Times New Roman" w:eastAsia="宋体" w:cs="Times New Roman"/>
                <w:szCs w:val="24"/>
              </w:rPr>
              <w:t>95</w:t>
            </w:r>
          </w:p>
        </w:tc>
        <w:tc>
          <w:tcPr>
            <w:tcW w:w="412" w:type="pct"/>
            <w:vMerge w:val="continue"/>
            <w:vAlign w:val="center"/>
          </w:tcPr>
          <w:p>
            <w:pPr>
              <w:pStyle w:val="132"/>
            </w:pPr>
          </w:p>
        </w:tc>
        <w:tc>
          <w:tcPr>
            <w:tcW w:w="285" w:type="pct"/>
            <w:vMerge w:val="continue"/>
            <w:vAlign w:val="center"/>
          </w:tcPr>
          <w:p>
            <w:pPr>
              <w:pStyle w:val="132"/>
            </w:pPr>
          </w:p>
        </w:tc>
      </w:tr>
    </w:tbl>
    <w:p>
      <w:pPr>
        <w:spacing w:line="500" w:lineRule="exact"/>
        <w:contextualSpacing/>
        <w:jc w:val="center"/>
        <w:rPr>
          <w:rFonts w:ascii="Times New Roman" w:hAnsi="Times New Roman" w:eastAsia="宋体" w:cs="Times New Roman"/>
          <w:b/>
          <w:sz w:val="28"/>
          <w:szCs w:val="28"/>
        </w:rPr>
      </w:pPr>
    </w:p>
    <w:p>
      <w:pPr>
        <w:spacing w:line="500" w:lineRule="exact"/>
        <w:contextualSpacing/>
        <w:jc w:val="center"/>
        <w:rPr>
          <w:rFonts w:ascii="Times New Roman" w:hAnsi="Times New Roman" w:eastAsia="宋体" w:cs="Times New Roman"/>
          <w:b/>
          <w:sz w:val="28"/>
          <w:szCs w:val="28"/>
        </w:rPr>
        <w:sectPr>
          <w:pgSz w:w="11906" w:h="16838"/>
          <w:pgMar w:top="1440" w:right="1800" w:bottom="1440" w:left="1800" w:header="851" w:footer="992" w:gutter="0"/>
          <w:cols w:space="425" w:num="1"/>
          <w:docGrid w:type="lines" w:linePitch="312" w:charSpace="0"/>
        </w:sectPr>
      </w:pPr>
    </w:p>
    <w:p>
      <w:pPr>
        <w:spacing w:line="500" w:lineRule="exact"/>
        <w:contextualSpacing/>
        <w:jc w:val="center"/>
        <w:rPr>
          <w:rFonts w:ascii="Times New Roman" w:hAnsi="Times New Roman" w:eastAsia="宋体" w:cs="Times New Roman"/>
          <w:b/>
          <w:sz w:val="28"/>
          <w:szCs w:val="28"/>
        </w:rPr>
      </w:pPr>
      <w:r>
        <w:rPr>
          <w:rFonts w:ascii="Times New Roman" w:hAnsi="Times New Roman" w:eastAsia="宋体" w:cs="Times New Roman"/>
          <w:b/>
          <w:sz w:val="28"/>
          <w:szCs w:val="28"/>
        </w:rPr>
        <w:t>表3.1-</w:t>
      </w:r>
      <w:r>
        <w:rPr>
          <w:rFonts w:hint="eastAsia" w:ascii="Times New Roman" w:hAnsi="Times New Roman" w:eastAsia="宋体" w:cs="Times New Roman"/>
          <w:b/>
          <w:sz w:val="28"/>
          <w:szCs w:val="28"/>
        </w:rPr>
        <w:t>6</w:t>
      </w:r>
      <w:r>
        <w:rPr>
          <w:rFonts w:ascii="Times New Roman" w:hAnsi="Times New Roman" w:eastAsia="宋体" w:cs="Times New Roman"/>
          <w:b/>
          <w:sz w:val="28"/>
          <w:szCs w:val="28"/>
        </w:rPr>
        <w:t xml:space="preserve"> 现有工程涉及的污染物排放量变动情况一览表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718"/>
        <w:gridCol w:w="749"/>
        <w:gridCol w:w="967"/>
        <w:gridCol w:w="899"/>
        <w:gridCol w:w="791"/>
        <w:gridCol w:w="785"/>
        <w:gridCol w:w="734"/>
        <w:gridCol w:w="700"/>
        <w:gridCol w:w="913"/>
        <w:gridCol w:w="921"/>
        <w:gridCol w:w="921"/>
        <w:gridCol w:w="899"/>
        <w:gridCol w:w="723"/>
        <w:gridCol w:w="1018"/>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3" w:type="pct"/>
            <w:gridSpan w:val="7"/>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已通过环评、验收的排放状况</w:t>
            </w:r>
          </w:p>
        </w:tc>
        <w:tc>
          <w:tcPr>
            <w:tcW w:w="2409" w:type="pct"/>
            <w:gridSpan w:val="8"/>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实际建设的排放状况</w:t>
            </w:r>
          </w:p>
        </w:tc>
        <w:tc>
          <w:tcPr>
            <w:tcW w:w="597"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62"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排放口编号</w:t>
            </w:r>
          </w:p>
        </w:tc>
        <w:tc>
          <w:tcPr>
            <w:tcW w:w="517" w:type="pct"/>
            <w:gridSpan w:val="2"/>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污染源名称</w:t>
            </w:r>
          </w:p>
        </w:tc>
        <w:tc>
          <w:tcPr>
            <w:tcW w:w="341"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排放浓度</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排放速率</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(kg/h)</w:t>
            </w:r>
          </w:p>
        </w:tc>
        <w:tc>
          <w:tcPr>
            <w:tcW w:w="279"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(t/a)</w:t>
            </w:r>
          </w:p>
        </w:tc>
        <w:tc>
          <w:tcPr>
            <w:tcW w:w="27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排放规律</w:t>
            </w:r>
          </w:p>
        </w:tc>
        <w:tc>
          <w:tcPr>
            <w:tcW w:w="259"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排放口编号</w:t>
            </w:r>
          </w:p>
        </w:tc>
        <w:tc>
          <w:tcPr>
            <w:tcW w:w="568" w:type="pct"/>
            <w:gridSpan w:val="2"/>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污染源名称</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排放浓度</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排放速率</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(kg/h)</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(t/a)</w:t>
            </w:r>
          </w:p>
        </w:tc>
        <w:tc>
          <w:tcPr>
            <w:tcW w:w="25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排放规律</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排放标准</w:t>
            </w:r>
          </w:p>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(mg/m</w:t>
            </w:r>
            <w:r>
              <w:rPr>
                <w:rFonts w:ascii="Times New Roman" w:hAnsi="Times New Roman" w:eastAsia="宋体" w:cs="Times New Roman"/>
                <w:sz w:val="21"/>
                <w:szCs w:val="21"/>
                <w:vertAlign w:val="superscript"/>
              </w:rPr>
              <w:t>3</w:t>
            </w:r>
            <w:r>
              <w:rPr>
                <w:rFonts w:ascii="Times New Roman" w:hAnsi="Times New Roman" w:eastAsia="宋体" w:cs="Times New Roman"/>
                <w:sz w:val="21"/>
                <w:szCs w:val="21"/>
              </w:rPr>
              <w:t>)</w:t>
            </w:r>
          </w:p>
        </w:tc>
        <w:tc>
          <w:tcPr>
            <w:tcW w:w="597"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 w:type="pct"/>
            <w:vMerge w:val="restar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bCs/>
                <w:sz w:val="21"/>
                <w:szCs w:val="21"/>
              </w:rPr>
              <w:t>DA001</w:t>
            </w:r>
          </w:p>
        </w:tc>
        <w:tc>
          <w:tcPr>
            <w:tcW w:w="252"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导热油炉</w:t>
            </w: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烟（粉）尘</w:t>
            </w:r>
          </w:p>
        </w:tc>
        <w:tc>
          <w:tcPr>
            <w:tcW w:w="967" w:type="dxa"/>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8.33 </w:t>
            </w:r>
          </w:p>
        </w:tc>
        <w:tc>
          <w:tcPr>
            <w:tcW w:w="899" w:type="dxa"/>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0.0333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0.048</w:t>
            </w:r>
          </w:p>
        </w:tc>
        <w:tc>
          <w:tcPr>
            <w:tcW w:w="276"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259" w:type="pct"/>
            <w:vMerge w:val="restar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bCs/>
                <w:sz w:val="21"/>
                <w:szCs w:val="21"/>
              </w:rPr>
              <w:t>DA001</w:t>
            </w:r>
          </w:p>
        </w:tc>
        <w:tc>
          <w:tcPr>
            <w:tcW w:w="246"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导热油炉</w:t>
            </w: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烟（粉）尘</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9.64 </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0.0094 </w:t>
            </w:r>
          </w:p>
        </w:tc>
        <w:tc>
          <w:tcPr>
            <w:tcW w:w="31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0.0135</w:t>
            </w:r>
          </w:p>
        </w:tc>
        <w:tc>
          <w:tcPr>
            <w:tcW w:w="255" w:type="pct"/>
            <w:vMerge w:val="restar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10</w:t>
            </w:r>
          </w:p>
        </w:tc>
        <w:tc>
          <w:tcPr>
            <w:tcW w:w="597" w:type="pct"/>
            <w:vMerge w:val="restar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排放量减少，因</w:t>
            </w:r>
            <w:r>
              <w:rPr>
                <w:rFonts w:hint="eastAsia" w:ascii="Times New Roman" w:hAnsi="Times New Roman" w:eastAsia="宋体" w:cs="Times New Roman"/>
                <w:sz w:val="21"/>
                <w:szCs w:val="21"/>
              </w:rPr>
              <w:t>燃料</w:t>
            </w:r>
            <w:r>
              <w:rPr>
                <w:rFonts w:ascii="Times New Roman" w:hAnsi="Times New Roman" w:eastAsia="宋体" w:cs="Times New Roman"/>
                <w:sz w:val="21"/>
                <w:szCs w:val="21"/>
              </w:rPr>
              <w:t>改为使用天然气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 w:type="pct"/>
            <w:vMerge w:val="continue"/>
            <w:vAlign w:val="center"/>
          </w:tcPr>
          <w:p>
            <w:pPr>
              <w:spacing w:line="240" w:lineRule="exact"/>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967" w:type="dxa"/>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29.17 </w:t>
            </w:r>
          </w:p>
        </w:tc>
        <w:tc>
          <w:tcPr>
            <w:tcW w:w="899" w:type="dxa"/>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0.1167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0.168</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spacing w:line="240" w:lineRule="exact"/>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11.13 </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0.0108 </w:t>
            </w:r>
          </w:p>
        </w:tc>
        <w:tc>
          <w:tcPr>
            <w:tcW w:w="31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0.0156</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35</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2" w:type="pct"/>
            <w:vMerge w:val="continue"/>
            <w:vAlign w:val="center"/>
          </w:tcPr>
          <w:p>
            <w:pPr>
              <w:spacing w:line="240" w:lineRule="exact"/>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NOx</w:t>
            </w:r>
          </w:p>
        </w:tc>
        <w:tc>
          <w:tcPr>
            <w:tcW w:w="967" w:type="dxa"/>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45.83 </w:t>
            </w:r>
          </w:p>
        </w:tc>
        <w:tc>
          <w:tcPr>
            <w:tcW w:w="899" w:type="dxa"/>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0.1833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0.264</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spacing w:line="240" w:lineRule="exact"/>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NOx</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28.11 </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0.0274 </w:t>
            </w:r>
          </w:p>
        </w:tc>
        <w:tc>
          <w:tcPr>
            <w:tcW w:w="31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0.0394</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50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DA002</w:t>
            </w:r>
          </w:p>
        </w:tc>
        <w:tc>
          <w:tcPr>
            <w:tcW w:w="252"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加热器、干燥机、配料机</w:t>
            </w: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烟（粉）尘</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17.47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2.4458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3.522</w:t>
            </w:r>
          </w:p>
        </w:tc>
        <w:tc>
          <w:tcPr>
            <w:tcW w:w="276"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259"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DA002</w:t>
            </w:r>
          </w:p>
        </w:tc>
        <w:tc>
          <w:tcPr>
            <w:tcW w:w="246"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加热器、干燥机、配料机</w:t>
            </w: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烟（粉）尘</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17.13</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2.3961 </w:t>
            </w:r>
          </w:p>
        </w:tc>
        <w:tc>
          <w:tcPr>
            <w:tcW w:w="31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3.4504</w:t>
            </w:r>
          </w:p>
        </w:tc>
        <w:tc>
          <w:tcPr>
            <w:tcW w:w="255" w:type="pct"/>
            <w:vMerge w:val="restar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1.55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0.2167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0.312</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SO</w:t>
            </w:r>
            <w:r>
              <w:rPr>
                <w:rFonts w:ascii="Times New Roman" w:hAnsi="Times New Roman" w:eastAsia="宋体" w:cs="Times New Roman"/>
                <w:kern w:val="0"/>
                <w:sz w:val="21"/>
                <w:szCs w:val="21"/>
                <w:vertAlign w:val="subscript"/>
              </w:rPr>
              <w:t>2</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0.12 </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0.0167 </w:t>
            </w:r>
          </w:p>
        </w:tc>
        <w:tc>
          <w:tcPr>
            <w:tcW w:w="31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0.024</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80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NOx</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1.97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0.2757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0.397</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NOx</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0.30 </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0.0421 </w:t>
            </w:r>
          </w:p>
        </w:tc>
        <w:tc>
          <w:tcPr>
            <w:tcW w:w="31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0.0606</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180</w:t>
            </w:r>
          </w:p>
        </w:tc>
        <w:tc>
          <w:tcPr>
            <w:tcW w:w="597" w:type="pct"/>
            <w:vMerge w:val="continue"/>
            <w:shd w:val="clear" w:color="auto" w:fill="auto"/>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沥青烟</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沥青烟</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0.67</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0.0938</w:t>
            </w:r>
          </w:p>
        </w:tc>
        <w:tc>
          <w:tcPr>
            <w:tcW w:w="317" w:type="pct"/>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0.135</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59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增加0.135t/a，新增旧沥青混合料加热产生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苯并芘</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苯并芘</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0.00003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0.0000042</w:t>
            </w:r>
          </w:p>
        </w:tc>
        <w:tc>
          <w:tcPr>
            <w:tcW w:w="317" w:type="pct"/>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0.000006</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0.0003</w:t>
            </w:r>
          </w:p>
        </w:tc>
        <w:tc>
          <w:tcPr>
            <w:tcW w:w="59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增加0.000006t/a，新增旧沥青混合料加热产生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非甲烷总烃</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非甲烷总烃</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0.47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0.06563</w:t>
            </w:r>
          </w:p>
        </w:tc>
        <w:tc>
          <w:tcPr>
            <w:tcW w:w="317" w:type="pct"/>
            <w:shd w:val="clear" w:color="auto" w:fill="auto"/>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0.0945</w:t>
            </w:r>
          </w:p>
        </w:tc>
        <w:tc>
          <w:tcPr>
            <w:tcW w:w="255" w:type="pct"/>
            <w:vMerge w:val="continue"/>
            <w:shd w:val="clear" w:color="auto" w:fill="auto"/>
            <w:vAlign w:val="center"/>
          </w:tcPr>
          <w:p>
            <w:pPr>
              <w:contextualSpacing/>
              <w:jc w:val="center"/>
              <w:rPr>
                <w:rFonts w:ascii="Times New Roman" w:hAnsi="Times New Roman" w:eastAsia="宋体" w:cs="Times New Roman"/>
                <w:sz w:val="21"/>
                <w:szCs w:val="21"/>
              </w:rPr>
            </w:pPr>
          </w:p>
        </w:tc>
        <w:tc>
          <w:tcPr>
            <w:tcW w:w="356"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c>
          <w:tcPr>
            <w:tcW w:w="597" w:type="pct"/>
            <w:shd w:val="clear" w:color="auto" w:fill="auto"/>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增加0.0945t/a，新增旧沥青混合料加热产生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DA003</w:t>
            </w:r>
          </w:p>
        </w:tc>
        <w:tc>
          <w:tcPr>
            <w:tcW w:w="252"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沥青卸料、储存</w:t>
            </w:r>
            <w:r>
              <w:rPr>
                <w:rFonts w:hint="eastAsia" w:ascii="Times New Roman" w:hAnsi="Times New Roman" w:cs="Times New Roman"/>
                <w:sz w:val="21"/>
                <w:szCs w:val="21"/>
              </w:rPr>
              <w:t>、输送</w:t>
            </w:r>
            <w:r>
              <w:rPr>
                <w:rFonts w:ascii="Times New Roman" w:hAnsi="Times New Roman" w:cs="Times New Roman"/>
                <w:sz w:val="21"/>
                <w:szCs w:val="21"/>
              </w:rPr>
              <w:t>加热</w:t>
            </w:r>
            <w:r>
              <w:rPr>
                <w:rFonts w:hint="eastAsia" w:ascii="Times New Roman" w:hAnsi="Times New Roman" w:cs="Times New Roman"/>
                <w:sz w:val="21"/>
                <w:szCs w:val="21"/>
              </w:rPr>
              <w:t>废气</w:t>
            </w:r>
            <w:r>
              <w:rPr>
                <w:rFonts w:ascii="Times New Roman" w:hAnsi="Times New Roman" w:cs="Times New Roman"/>
                <w:sz w:val="21"/>
                <w:szCs w:val="21"/>
              </w:rPr>
              <w:t>、拌合废气</w:t>
            </w: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沥青烟</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5.21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0.16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0.23 </w:t>
            </w:r>
          </w:p>
        </w:tc>
        <w:tc>
          <w:tcPr>
            <w:tcW w:w="276"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259" w:type="pct"/>
            <w:vMerge w:val="restart"/>
            <w:vAlign w:val="center"/>
          </w:tcPr>
          <w:p>
            <w:pPr>
              <w:jc w:val="center"/>
              <w:rPr>
                <w:rFonts w:ascii="Times New Roman" w:hAnsi="Times New Roman" w:eastAsia="宋体" w:cs="Times New Roman"/>
                <w:sz w:val="21"/>
                <w:szCs w:val="21"/>
              </w:rPr>
            </w:pPr>
            <w:r>
              <w:rPr>
                <w:rFonts w:ascii="Times New Roman" w:hAnsi="Times New Roman" w:eastAsia="宋体" w:cs="Times New Roman"/>
                <w:bCs/>
                <w:sz w:val="21"/>
                <w:szCs w:val="21"/>
              </w:rPr>
              <w:t>DA003</w:t>
            </w:r>
          </w:p>
        </w:tc>
        <w:tc>
          <w:tcPr>
            <w:tcW w:w="246" w:type="pct"/>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沥青卸料、储存</w:t>
            </w:r>
            <w:r>
              <w:rPr>
                <w:rFonts w:hint="eastAsia" w:ascii="Times New Roman" w:hAnsi="Times New Roman" w:cs="Times New Roman"/>
                <w:sz w:val="21"/>
                <w:szCs w:val="21"/>
              </w:rPr>
              <w:t>、输送</w:t>
            </w:r>
            <w:r>
              <w:rPr>
                <w:rFonts w:ascii="Times New Roman" w:hAnsi="Times New Roman" w:cs="Times New Roman"/>
                <w:sz w:val="21"/>
                <w:szCs w:val="21"/>
              </w:rPr>
              <w:t>加热</w:t>
            </w:r>
            <w:r>
              <w:rPr>
                <w:rFonts w:hint="eastAsia" w:ascii="Times New Roman" w:hAnsi="Times New Roman" w:cs="Times New Roman"/>
                <w:sz w:val="21"/>
                <w:szCs w:val="21"/>
              </w:rPr>
              <w:t>废气</w:t>
            </w:r>
            <w:r>
              <w:rPr>
                <w:rFonts w:ascii="Times New Roman" w:hAnsi="Times New Roman" w:cs="Times New Roman"/>
                <w:sz w:val="21"/>
                <w:szCs w:val="21"/>
              </w:rPr>
              <w:t>、拌合废气</w:t>
            </w: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沥青烟</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5.21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0.16 </w:t>
            </w:r>
          </w:p>
        </w:tc>
        <w:tc>
          <w:tcPr>
            <w:tcW w:w="31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0.23 </w:t>
            </w:r>
          </w:p>
        </w:tc>
        <w:tc>
          <w:tcPr>
            <w:tcW w:w="255" w:type="pct"/>
            <w:vMerge w:val="restar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间歇排放1440h/a</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20</w:t>
            </w:r>
          </w:p>
        </w:tc>
        <w:tc>
          <w:tcPr>
            <w:tcW w:w="597" w:type="pct"/>
            <w:vMerge w:val="restart"/>
            <w:vAlign w:val="center"/>
          </w:tcPr>
          <w:p>
            <w:pPr>
              <w:contextualSpacing/>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最大排放量</w:t>
            </w:r>
            <w:r>
              <w:rPr>
                <w:rFonts w:ascii="Times New Roman" w:hAnsi="Times New Roman" w:eastAsia="宋体" w:cs="Times New Roman"/>
                <w:sz w:val="21"/>
                <w:szCs w:val="21"/>
              </w:rPr>
              <w:t>不发生变化</w:t>
            </w:r>
            <w:r>
              <w:rPr>
                <w:rFonts w:hint="eastAsia" w:ascii="Times New Roman" w:hAnsi="Times New Roman" w:eastAsia="宋体" w:cs="Times New Roman"/>
                <w:sz w:val="21"/>
                <w:szCs w:val="21"/>
              </w:rPr>
              <w:t>，使用旧沥青混合料时相应减少，全厂排放量不发生变化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jc w:val="center"/>
              <w:rPr>
                <w:rFonts w:ascii="Times New Roman" w:hAnsi="Times New Roman" w:eastAsia="宋体" w:cs="Times New Roman"/>
                <w:bCs/>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苯并芘</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0.00023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0.00001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0.00001 </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苯并芘</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0.00023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0.00001 </w:t>
            </w:r>
          </w:p>
        </w:tc>
        <w:tc>
          <w:tcPr>
            <w:tcW w:w="31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0.00001 </w:t>
            </w:r>
          </w:p>
        </w:tc>
        <w:tc>
          <w:tcPr>
            <w:tcW w:w="255" w:type="pct"/>
            <w:vMerge w:val="continue"/>
            <w:vAlign w:val="center"/>
          </w:tcPr>
          <w:p>
            <w:pPr>
              <w:contextualSpacing/>
              <w:jc w:val="center"/>
              <w:rPr>
                <w:rFonts w:ascii="Times New Roman" w:hAnsi="Times New Roman" w:eastAsia="宋体" w:cs="Times New Roman"/>
                <w:sz w:val="21"/>
                <w:szCs w:val="21"/>
              </w:rPr>
            </w:pP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0.0003</w:t>
            </w:r>
          </w:p>
        </w:tc>
        <w:tc>
          <w:tcPr>
            <w:tcW w:w="597"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 w:type="pct"/>
            <w:vMerge w:val="continue"/>
            <w:vAlign w:val="center"/>
          </w:tcPr>
          <w:p>
            <w:pPr>
              <w:widowControl/>
              <w:contextualSpacing/>
              <w:jc w:val="center"/>
              <w:rPr>
                <w:rFonts w:ascii="Times New Roman" w:hAnsi="Times New Roman" w:eastAsia="宋体" w:cs="Times New Roman"/>
                <w:sz w:val="21"/>
                <w:szCs w:val="21"/>
              </w:rPr>
            </w:pPr>
          </w:p>
        </w:tc>
        <w:tc>
          <w:tcPr>
            <w:tcW w:w="252"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非甲烷总烃</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3.65 </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0.11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color w:val="000000"/>
                <w:kern w:val="0"/>
                <w:sz w:val="21"/>
                <w:szCs w:val="21"/>
                <w:lang w:bidi="ar"/>
              </w:rPr>
              <w:t xml:space="preserve">0.16 </w:t>
            </w:r>
          </w:p>
        </w:tc>
        <w:tc>
          <w:tcPr>
            <w:tcW w:w="276" w:type="pct"/>
            <w:vMerge w:val="continue"/>
            <w:vAlign w:val="center"/>
          </w:tcPr>
          <w:p>
            <w:pPr>
              <w:contextualSpacing/>
              <w:jc w:val="center"/>
              <w:rPr>
                <w:rFonts w:ascii="Times New Roman" w:hAnsi="Times New Roman" w:eastAsia="宋体" w:cs="Times New Roman"/>
                <w:sz w:val="21"/>
                <w:szCs w:val="21"/>
              </w:rPr>
            </w:pPr>
          </w:p>
        </w:tc>
        <w:tc>
          <w:tcPr>
            <w:tcW w:w="259" w:type="pct"/>
            <w:vMerge w:val="continue"/>
            <w:vAlign w:val="center"/>
          </w:tcPr>
          <w:p>
            <w:pPr>
              <w:jc w:val="center"/>
              <w:rPr>
                <w:rFonts w:ascii="Times New Roman" w:hAnsi="Times New Roman" w:eastAsia="宋体" w:cs="Times New Roman"/>
                <w:bCs/>
                <w:sz w:val="21"/>
                <w:szCs w:val="21"/>
              </w:rPr>
            </w:pPr>
          </w:p>
        </w:tc>
        <w:tc>
          <w:tcPr>
            <w:tcW w:w="246" w:type="pct"/>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spacing w:line="240" w:lineRule="exact"/>
              <w:jc w:val="center"/>
              <w:rPr>
                <w:rFonts w:ascii="Times New Roman" w:hAnsi="Times New Roman" w:eastAsia="宋体" w:cs="Times New Roman"/>
                <w:sz w:val="21"/>
                <w:szCs w:val="21"/>
              </w:rPr>
            </w:pPr>
            <w:r>
              <w:rPr>
                <w:rFonts w:ascii="Times New Roman" w:hAnsi="Times New Roman" w:eastAsia="宋体" w:cs="Times New Roman"/>
                <w:kern w:val="0"/>
                <w:sz w:val="21"/>
                <w:szCs w:val="21"/>
              </w:rPr>
              <w:t>非甲烷总烃</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3.65 </w:t>
            </w:r>
          </w:p>
        </w:tc>
        <w:tc>
          <w:tcPr>
            <w:tcW w:w="325"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0.11 </w:t>
            </w:r>
          </w:p>
        </w:tc>
        <w:tc>
          <w:tcPr>
            <w:tcW w:w="317" w:type="pct"/>
            <w:vAlign w:val="center"/>
          </w:tcPr>
          <w:p>
            <w:pPr>
              <w:widowControl/>
              <w:jc w:val="center"/>
              <w:textAlignment w:val="center"/>
              <w:rPr>
                <w:rFonts w:ascii="Times New Roman" w:hAnsi="Times New Roman" w:eastAsia="宋体" w:cs="Times New Roman"/>
                <w:sz w:val="21"/>
                <w:szCs w:val="21"/>
              </w:rPr>
            </w:pPr>
            <w:r>
              <w:rPr>
                <w:rFonts w:ascii="Times New Roman" w:hAnsi="Times New Roman" w:eastAsia="宋体" w:cs="Times New Roman"/>
                <w:color w:val="000000"/>
                <w:kern w:val="0"/>
                <w:sz w:val="21"/>
                <w:szCs w:val="21"/>
                <w:lang w:bidi="ar"/>
              </w:rPr>
              <w:t xml:space="preserve">0.16 </w:t>
            </w:r>
          </w:p>
        </w:tc>
        <w:tc>
          <w:tcPr>
            <w:tcW w:w="255" w:type="pct"/>
            <w:vMerge w:val="continue"/>
            <w:vAlign w:val="center"/>
          </w:tcPr>
          <w:p>
            <w:pPr>
              <w:contextualSpacing/>
              <w:jc w:val="center"/>
              <w:rPr>
                <w:rFonts w:ascii="Times New Roman" w:hAnsi="Times New Roman" w:eastAsia="宋体" w:cs="Times New Roman"/>
                <w:sz w:val="21"/>
                <w:szCs w:val="21"/>
              </w:rPr>
            </w:pP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c>
          <w:tcPr>
            <w:tcW w:w="597" w:type="pct"/>
            <w:vMerge w:val="continue"/>
            <w:vAlign w:val="center"/>
          </w:tcPr>
          <w:p>
            <w:pPr>
              <w:contextualSpacing/>
              <w:jc w:val="center"/>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 w:type="pct"/>
            <w:gridSpan w:val="2"/>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厂界</w:t>
            </w:r>
          </w:p>
        </w:tc>
        <w:tc>
          <w:tcPr>
            <w:tcW w:w="264"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非甲烷总烃</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color w:val="000000"/>
                <w:sz w:val="21"/>
                <w:szCs w:val="21"/>
              </w:rPr>
            </w:pPr>
            <w:r>
              <w:rPr>
                <w:rFonts w:ascii="Times New Roman" w:hAnsi="Times New Roman" w:eastAsia="宋体" w:cs="Times New Roman"/>
                <w:color w:val="000000"/>
                <w:kern w:val="0"/>
                <w:sz w:val="21"/>
                <w:szCs w:val="21"/>
                <w:lang w:bidi="ar"/>
              </w:rPr>
              <w:t>0.243</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0.35</w:t>
            </w:r>
          </w:p>
        </w:tc>
        <w:tc>
          <w:tcPr>
            <w:tcW w:w="27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间歇排放1440h/a </w:t>
            </w:r>
          </w:p>
        </w:tc>
        <w:tc>
          <w:tcPr>
            <w:tcW w:w="506" w:type="pct"/>
            <w:gridSpan w:val="2"/>
            <w:vMerge w:val="restar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厂界</w:t>
            </w:r>
          </w:p>
        </w:tc>
        <w:tc>
          <w:tcPr>
            <w:tcW w:w="322"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非甲烷总烃</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5" w:type="pct"/>
            <w:vAlign w:val="center"/>
          </w:tcPr>
          <w:p>
            <w:pPr>
              <w:widowControl/>
              <w:jc w:val="center"/>
              <w:textAlignment w:val="center"/>
              <w:rPr>
                <w:rFonts w:ascii="Times New Roman" w:hAnsi="Times New Roman" w:eastAsia="宋体" w:cs="Times New Roman"/>
                <w:color w:val="000000"/>
                <w:sz w:val="21"/>
                <w:szCs w:val="21"/>
              </w:rPr>
            </w:pPr>
            <w:r>
              <w:rPr>
                <w:rFonts w:ascii="Times New Roman" w:hAnsi="Times New Roman" w:eastAsia="宋体" w:cs="Times New Roman"/>
                <w:color w:val="000000"/>
                <w:kern w:val="0"/>
                <w:sz w:val="21"/>
                <w:szCs w:val="21"/>
                <w:lang w:bidi="ar"/>
              </w:rPr>
              <w:t xml:space="preserve">0.243 </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0.35</w:t>
            </w:r>
          </w:p>
        </w:tc>
        <w:tc>
          <w:tcPr>
            <w:tcW w:w="25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间歇排放1440h/a </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5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不发生变化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5" w:type="pct"/>
            <w:gridSpan w:val="2"/>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264"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颗粒物</w:t>
            </w:r>
          </w:p>
        </w:tc>
        <w:tc>
          <w:tcPr>
            <w:tcW w:w="341"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w:t>
            </w:r>
          </w:p>
        </w:tc>
        <w:tc>
          <w:tcPr>
            <w:tcW w:w="317"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 xml:space="preserve">0.0833 </w:t>
            </w:r>
          </w:p>
        </w:tc>
        <w:tc>
          <w:tcPr>
            <w:tcW w:w="279" w:type="pct"/>
            <w:vAlign w:val="center"/>
          </w:tcPr>
          <w:p>
            <w:pPr>
              <w:widowControl/>
              <w:jc w:val="center"/>
              <w:textAlignment w:val="center"/>
              <w:rPr>
                <w:rFonts w:ascii="Times New Roman" w:hAnsi="Times New Roman" w:eastAsia="宋体" w:cs="Times New Roman"/>
                <w:kern w:val="0"/>
                <w:sz w:val="21"/>
                <w:szCs w:val="21"/>
                <w:lang w:bidi="ar"/>
              </w:rPr>
            </w:pPr>
            <w:r>
              <w:rPr>
                <w:rFonts w:ascii="Times New Roman" w:hAnsi="Times New Roman" w:eastAsia="宋体" w:cs="Times New Roman"/>
                <w:kern w:val="0"/>
                <w:sz w:val="21"/>
                <w:szCs w:val="21"/>
                <w:lang w:bidi="ar"/>
              </w:rPr>
              <w:t>0.12</w:t>
            </w:r>
          </w:p>
        </w:tc>
        <w:tc>
          <w:tcPr>
            <w:tcW w:w="27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间歇排放1440h/a </w:t>
            </w:r>
          </w:p>
        </w:tc>
        <w:tc>
          <w:tcPr>
            <w:tcW w:w="506" w:type="pct"/>
            <w:gridSpan w:val="2"/>
            <w:vMerge w:val="continue"/>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p>
        </w:tc>
        <w:tc>
          <w:tcPr>
            <w:tcW w:w="322" w:type="pct"/>
            <w:vAlign w:val="center"/>
          </w:tcPr>
          <w:p>
            <w:pPr>
              <w:pStyle w:val="29"/>
              <w:widowControl w:val="0"/>
              <w:autoSpaceDE w:val="0"/>
              <w:autoSpaceDN w:val="0"/>
              <w:spacing w:before="0" w:beforeAutospacing="0" w:after="0" w:afterAutospacing="0" w:line="280" w:lineRule="exact"/>
              <w:jc w:val="center"/>
              <w:rPr>
                <w:rFonts w:ascii="Times New Roman" w:hAnsi="Times New Roman" w:cs="Times New Roman"/>
                <w:sz w:val="21"/>
                <w:szCs w:val="21"/>
              </w:rPr>
            </w:pPr>
            <w:r>
              <w:rPr>
                <w:rFonts w:ascii="Times New Roman" w:hAnsi="Times New Roman" w:cs="Times New Roman"/>
                <w:sz w:val="21"/>
                <w:szCs w:val="21"/>
              </w:rPr>
              <w:t>颗粒物</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32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0.0833 </w:t>
            </w:r>
          </w:p>
        </w:tc>
        <w:tc>
          <w:tcPr>
            <w:tcW w:w="31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0.12</w:t>
            </w:r>
          </w:p>
        </w:tc>
        <w:tc>
          <w:tcPr>
            <w:tcW w:w="255"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 xml:space="preserve">间歇排放1440h/a </w:t>
            </w:r>
          </w:p>
        </w:tc>
        <w:tc>
          <w:tcPr>
            <w:tcW w:w="356"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0.5</w:t>
            </w:r>
          </w:p>
        </w:tc>
        <w:tc>
          <w:tcPr>
            <w:tcW w:w="597" w:type="pct"/>
            <w:vAlign w:val="center"/>
          </w:tcPr>
          <w:p>
            <w:pPr>
              <w:contextualSpacing/>
              <w:jc w:val="center"/>
              <w:rPr>
                <w:rFonts w:ascii="Times New Roman" w:hAnsi="Times New Roman" w:eastAsia="宋体" w:cs="Times New Roman"/>
                <w:sz w:val="21"/>
                <w:szCs w:val="21"/>
              </w:rPr>
            </w:pPr>
            <w:r>
              <w:rPr>
                <w:rFonts w:ascii="Times New Roman" w:hAnsi="Times New Roman" w:eastAsia="宋体" w:cs="Times New Roman"/>
                <w:sz w:val="21"/>
                <w:szCs w:val="21"/>
              </w:rPr>
              <w:t>不发生变化</w:t>
            </w:r>
          </w:p>
        </w:tc>
      </w:tr>
    </w:tbl>
    <w:p>
      <w:pPr>
        <w:widowControl/>
        <w:spacing w:line="300" w:lineRule="exact"/>
        <w:ind w:firstLine="1050" w:firstLineChars="500"/>
        <w:jc w:val="left"/>
        <w:rPr>
          <w:rFonts w:ascii="Times New Roman" w:hAnsi="Times New Roman" w:eastAsia="宋体" w:cs="Times New Roman"/>
          <w:szCs w:val="21"/>
        </w:rPr>
        <w:sectPr>
          <w:pgSz w:w="16838" w:h="11906" w:orient="landscape"/>
          <w:pgMar w:top="1800" w:right="1440" w:bottom="1800" w:left="1440" w:header="851" w:footer="992" w:gutter="0"/>
          <w:cols w:space="425" w:num="1"/>
          <w:docGrid w:type="lines" w:linePitch="312" w:charSpace="0"/>
        </w:sectPr>
      </w:pPr>
    </w:p>
    <w:p>
      <w:pPr>
        <w:widowControl/>
        <w:spacing w:line="500" w:lineRule="exact"/>
        <w:ind w:right="-142" w:firstLine="560" w:firstLineChars="200"/>
        <w:rPr>
          <w:rFonts w:ascii="Times New Roman" w:hAnsi="Times New Roman" w:eastAsia="宋体" w:cs="Times New Roman"/>
          <w:kern w:val="0"/>
          <w:sz w:val="28"/>
          <w:szCs w:val="28"/>
        </w:rPr>
      </w:pPr>
      <w:r>
        <w:rPr>
          <w:rFonts w:ascii="Times New Roman" w:hAnsi="Times New Roman" w:eastAsia="宋体" w:cs="Times New Roman"/>
          <w:kern w:val="0"/>
          <w:sz w:val="28"/>
          <w:szCs w:val="28"/>
        </w:rPr>
        <w:t>变动前后污染物“三本账”见表3.1-</w:t>
      </w:r>
      <w:r>
        <w:rPr>
          <w:rFonts w:hint="eastAsia" w:ascii="Times New Roman" w:hAnsi="Times New Roman" w:eastAsia="宋体" w:cs="Times New Roman"/>
          <w:kern w:val="0"/>
          <w:sz w:val="28"/>
          <w:szCs w:val="28"/>
        </w:rPr>
        <w:t>7</w:t>
      </w:r>
      <w:r>
        <w:rPr>
          <w:rFonts w:ascii="Times New Roman" w:hAnsi="Times New Roman" w:eastAsia="宋体" w:cs="Times New Roman"/>
          <w:kern w:val="0"/>
          <w:sz w:val="28"/>
          <w:szCs w:val="28"/>
        </w:rPr>
        <w:t>。</w:t>
      </w:r>
    </w:p>
    <w:p>
      <w:pPr>
        <w:widowControl/>
        <w:spacing w:line="500" w:lineRule="exact"/>
        <w:ind w:right="-142"/>
        <w:jc w:val="center"/>
        <w:rPr>
          <w:rFonts w:ascii="Times New Roman" w:hAnsi="Times New Roman" w:eastAsia="宋体" w:cs="Times New Roman"/>
          <w:b/>
          <w:kern w:val="0"/>
          <w:sz w:val="28"/>
          <w:szCs w:val="28"/>
        </w:rPr>
      </w:pPr>
      <w:r>
        <w:rPr>
          <w:rFonts w:ascii="Times New Roman" w:hAnsi="Times New Roman" w:eastAsia="宋体" w:cs="Times New Roman"/>
          <w:b/>
          <w:kern w:val="0"/>
          <w:sz w:val="24"/>
          <w:szCs w:val="24"/>
        </w:rPr>
        <w:t>表3.1-</w:t>
      </w:r>
      <w:r>
        <w:rPr>
          <w:rFonts w:hint="eastAsia" w:ascii="Times New Roman" w:hAnsi="Times New Roman" w:eastAsia="宋体" w:cs="Times New Roman"/>
          <w:b/>
          <w:kern w:val="0"/>
          <w:sz w:val="24"/>
          <w:szCs w:val="24"/>
        </w:rPr>
        <w:t>7</w:t>
      </w:r>
      <w:r>
        <w:rPr>
          <w:rFonts w:ascii="Times New Roman" w:hAnsi="Times New Roman" w:eastAsia="宋体" w:cs="Times New Roman"/>
          <w:b/>
          <w:kern w:val="0"/>
          <w:sz w:val="24"/>
          <w:szCs w:val="24"/>
        </w:rPr>
        <w:t>变动前后本项目大气污染物“三本账”情况表（t/a）</w:t>
      </w:r>
    </w:p>
    <w:tbl>
      <w:tblPr>
        <w:tblStyle w:val="33"/>
        <w:tblW w:w="501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88"/>
        <w:gridCol w:w="551"/>
        <w:gridCol w:w="1343"/>
        <w:gridCol w:w="1221"/>
        <w:gridCol w:w="1128"/>
        <w:gridCol w:w="1158"/>
        <w:gridCol w:w="255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1" w:hRule="atLeast"/>
          <w:jc w:val="center"/>
        </w:trPr>
        <w:tc>
          <w:tcPr>
            <w:tcW w:w="387" w:type="dxa"/>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种类</w:t>
            </w:r>
          </w:p>
        </w:tc>
        <w:tc>
          <w:tcPr>
            <w:tcW w:w="1891" w:type="dxa"/>
            <w:gridSpan w:val="2"/>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污染物名称</w:t>
            </w:r>
          </w:p>
        </w:tc>
        <w:tc>
          <w:tcPr>
            <w:tcW w:w="1220"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变动前</w:t>
            </w:r>
            <w:r>
              <w:rPr>
                <w:rFonts w:hint="eastAsia" w:ascii="Times New Roman" w:hAnsi="Times New Roman" w:eastAsia="宋体" w:cs="Times New Roman"/>
                <w:szCs w:val="21"/>
              </w:rPr>
              <w:t>实际</w:t>
            </w:r>
            <w:r>
              <w:rPr>
                <w:rFonts w:ascii="Times New Roman" w:hAnsi="Times New Roman" w:eastAsia="宋体" w:cs="Times New Roman"/>
                <w:szCs w:val="21"/>
              </w:rPr>
              <w:t>排放量</w:t>
            </w:r>
          </w:p>
        </w:tc>
        <w:tc>
          <w:tcPr>
            <w:tcW w:w="1127"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变动后排放量</w:t>
            </w:r>
          </w:p>
        </w:tc>
        <w:tc>
          <w:tcPr>
            <w:tcW w:w="1157" w:type="dxa"/>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变化量</w:t>
            </w:r>
          </w:p>
        </w:tc>
        <w:tc>
          <w:tcPr>
            <w:tcW w:w="2551" w:type="dxa"/>
            <w:tcMar>
              <w:left w:w="0" w:type="dxa"/>
              <w:right w:w="0" w:type="dxa"/>
            </w:tcMar>
            <w:vAlign w:val="center"/>
          </w:tcPr>
          <w:p>
            <w:pPr>
              <w:snapToGrid w:val="0"/>
              <w:jc w:val="center"/>
              <w:rPr>
                <w:rFonts w:ascii="Times New Roman" w:hAnsi="Times New Roman" w:eastAsia="宋体" w:cs="Times New Roman"/>
                <w:szCs w:val="21"/>
              </w:rPr>
            </w:pPr>
            <w:r>
              <w:rPr>
                <w:rFonts w:hint="eastAsia" w:ascii="Times New Roman" w:hAnsi="Times New Roman" w:eastAsia="宋体"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restart"/>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550" w:type="dxa"/>
            <w:vMerge w:val="restart"/>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有组织</w:t>
            </w: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220"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3.57</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3.46</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-0.11</w:t>
            </w:r>
          </w:p>
        </w:tc>
        <w:tc>
          <w:tcPr>
            <w:tcW w:w="2551" w:type="dxa"/>
            <w:vMerge w:val="restart"/>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燃料改为天然气</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2" w:hRule="atLeast"/>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SO</w:t>
            </w:r>
            <w:r>
              <w:rPr>
                <w:rFonts w:ascii="Times New Roman" w:hAnsi="Times New Roman" w:eastAsia="宋体" w:cs="Times New Roman"/>
                <w:szCs w:val="21"/>
                <w:vertAlign w:val="subscript"/>
              </w:rPr>
              <w:t>2</w:t>
            </w:r>
          </w:p>
        </w:tc>
        <w:tc>
          <w:tcPr>
            <w:tcW w:w="1220"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0.48</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0.04</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-0.44</w:t>
            </w:r>
          </w:p>
        </w:tc>
        <w:tc>
          <w:tcPr>
            <w:tcW w:w="2551" w:type="dxa"/>
            <w:vMerge w:val="continue"/>
            <w:tcMar>
              <w:left w:w="0" w:type="dxa"/>
              <w:right w:w="0" w:type="dxa"/>
            </w:tcMar>
            <w:vAlign w:val="center"/>
          </w:tcPr>
          <w:p>
            <w:pPr>
              <w:widowControl/>
              <w:jc w:val="center"/>
              <w:textAlignment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NOx</w:t>
            </w:r>
          </w:p>
        </w:tc>
        <w:tc>
          <w:tcPr>
            <w:tcW w:w="1220"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0.661</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0.1</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0.561</w:t>
            </w:r>
          </w:p>
        </w:tc>
        <w:tc>
          <w:tcPr>
            <w:tcW w:w="2551" w:type="dxa"/>
            <w:vMerge w:val="continue"/>
            <w:tcMar>
              <w:left w:w="0" w:type="dxa"/>
              <w:right w:w="0" w:type="dxa"/>
            </w:tcMar>
            <w:vAlign w:val="center"/>
          </w:tcPr>
          <w:p>
            <w:pPr>
              <w:widowControl/>
              <w:jc w:val="center"/>
              <w:textAlignment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沥青烟</w:t>
            </w:r>
          </w:p>
        </w:tc>
        <w:tc>
          <w:tcPr>
            <w:tcW w:w="1220"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0.23</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0.23</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551" w:type="dxa"/>
            <w:vMerge w:val="restart"/>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使用旧沥青混合料的情况下，DA002排气筒增加，但DA002排气筒减少故全厂总量不发生变化。</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苯并芘</w:t>
            </w:r>
          </w:p>
        </w:tc>
        <w:tc>
          <w:tcPr>
            <w:tcW w:w="1220"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0.0000</w:t>
            </w:r>
            <w:r>
              <w:rPr>
                <w:rFonts w:hint="eastAsia" w:ascii="Times New Roman" w:hAnsi="Times New Roman" w:eastAsia="宋体" w:cs="Times New Roman"/>
                <w:szCs w:val="21"/>
              </w:rPr>
              <w:t>1</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0.00001</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551" w:type="dxa"/>
            <w:vMerge w:val="continue"/>
            <w:tcMar>
              <w:left w:w="0" w:type="dxa"/>
              <w:right w:w="0" w:type="dxa"/>
            </w:tcMar>
            <w:vAlign w:val="center"/>
          </w:tcPr>
          <w:p>
            <w:pPr>
              <w:widowControl/>
              <w:jc w:val="center"/>
              <w:textAlignment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非甲烷总烃</w:t>
            </w:r>
          </w:p>
        </w:tc>
        <w:tc>
          <w:tcPr>
            <w:tcW w:w="1220" w:type="dxa"/>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0.16</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0.16</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551" w:type="dxa"/>
            <w:vMerge w:val="continue"/>
            <w:tcMar>
              <w:left w:w="0" w:type="dxa"/>
              <w:right w:w="0" w:type="dxa"/>
            </w:tcMar>
            <w:vAlign w:val="center"/>
          </w:tcPr>
          <w:p>
            <w:pPr>
              <w:widowControl/>
              <w:jc w:val="center"/>
              <w:textAlignment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restart"/>
            <w:tcMar>
              <w:left w:w="0" w:type="dxa"/>
              <w:right w:w="0" w:type="dxa"/>
            </w:tcMar>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无组织</w:t>
            </w: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非甲烷总烃</w:t>
            </w:r>
          </w:p>
        </w:tc>
        <w:tc>
          <w:tcPr>
            <w:tcW w:w="1220"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0.35</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0.35</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w:t>
            </w:r>
          </w:p>
        </w:tc>
        <w:tc>
          <w:tcPr>
            <w:tcW w:w="2551" w:type="dxa"/>
            <w:tcMar>
              <w:left w:w="0" w:type="dxa"/>
              <w:right w:w="0" w:type="dxa"/>
            </w:tcMar>
            <w:vAlign w:val="center"/>
          </w:tcPr>
          <w:p>
            <w:pPr>
              <w:widowControl/>
              <w:jc w:val="center"/>
              <w:textAlignment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387" w:type="dxa"/>
            <w:vMerge w:val="continue"/>
            <w:tcMar>
              <w:left w:w="0" w:type="dxa"/>
              <w:right w:w="0" w:type="dxa"/>
            </w:tcMar>
            <w:vAlign w:val="center"/>
          </w:tcPr>
          <w:p>
            <w:pPr>
              <w:overflowPunct w:val="0"/>
              <w:autoSpaceDN w:val="0"/>
              <w:adjustRightInd w:val="0"/>
              <w:snapToGrid w:val="0"/>
              <w:jc w:val="center"/>
              <w:rPr>
                <w:rFonts w:ascii="Times New Roman" w:hAnsi="Times New Roman" w:eastAsia="宋体" w:cs="Times New Roman"/>
                <w:szCs w:val="21"/>
              </w:rPr>
            </w:pPr>
          </w:p>
        </w:tc>
        <w:tc>
          <w:tcPr>
            <w:tcW w:w="550" w:type="dxa"/>
            <w:vMerge w:val="continue"/>
            <w:tcMar>
              <w:left w:w="0" w:type="dxa"/>
              <w:right w:w="0" w:type="dxa"/>
            </w:tcMar>
            <w:vAlign w:val="center"/>
          </w:tcPr>
          <w:p>
            <w:pPr>
              <w:snapToGrid w:val="0"/>
              <w:jc w:val="center"/>
              <w:rPr>
                <w:rFonts w:ascii="Times New Roman" w:hAnsi="Times New Roman" w:eastAsia="宋体" w:cs="Times New Roman"/>
                <w:szCs w:val="21"/>
              </w:rPr>
            </w:pPr>
          </w:p>
        </w:tc>
        <w:tc>
          <w:tcPr>
            <w:tcW w:w="1341"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颗粒物</w:t>
            </w:r>
          </w:p>
        </w:tc>
        <w:tc>
          <w:tcPr>
            <w:tcW w:w="1220"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0.12</w:t>
            </w:r>
          </w:p>
        </w:tc>
        <w:tc>
          <w:tcPr>
            <w:tcW w:w="1127"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0.12</w:t>
            </w:r>
          </w:p>
        </w:tc>
        <w:tc>
          <w:tcPr>
            <w:tcW w:w="1157" w:type="dxa"/>
            <w:tcMar>
              <w:left w:w="0" w:type="dxa"/>
              <w:right w:w="0" w:type="dxa"/>
            </w:tcMar>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0</w:t>
            </w:r>
          </w:p>
        </w:tc>
        <w:tc>
          <w:tcPr>
            <w:tcW w:w="2551" w:type="dxa"/>
            <w:tcMar>
              <w:left w:w="0" w:type="dxa"/>
              <w:right w:w="0" w:type="dxa"/>
            </w:tcMar>
            <w:vAlign w:val="center"/>
          </w:tcPr>
          <w:p>
            <w:pPr>
              <w:widowControl/>
              <w:jc w:val="center"/>
              <w:textAlignment w:val="center"/>
              <w:rPr>
                <w:rFonts w:ascii="Times New Roman" w:hAnsi="Times New Roman" w:eastAsia="宋体" w:cs="Times New Roman"/>
                <w:szCs w:val="21"/>
              </w:rPr>
            </w:pPr>
          </w:p>
        </w:tc>
      </w:tr>
    </w:tbl>
    <w:p>
      <w:pPr>
        <w:spacing w:line="500" w:lineRule="exact"/>
        <w:ind w:firstLine="560" w:firstLineChars="200"/>
        <w:rPr>
          <w:rFonts w:ascii="Times New Roman" w:hAnsi="Times New Roman" w:eastAsia="宋体" w:cs="Times New Roman"/>
          <w:sz w:val="28"/>
          <w:szCs w:val="28"/>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sz w:val="28"/>
          <w:szCs w:val="28"/>
          <w:lang w:val="zh-CN"/>
        </w:rPr>
        <w:t>由表</w:t>
      </w:r>
      <w:r>
        <w:rPr>
          <w:rFonts w:ascii="Times New Roman" w:hAnsi="Times New Roman" w:eastAsia="宋体" w:cs="Times New Roman"/>
          <w:sz w:val="28"/>
          <w:szCs w:val="28"/>
        </w:rPr>
        <w:t>3.1-</w:t>
      </w:r>
      <w:r>
        <w:rPr>
          <w:rFonts w:hint="eastAsia" w:ascii="Times New Roman" w:hAnsi="Times New Roman" w:eastAsia="宋体" w:cs="Times New Roman"/>
          <w:sz w:val="28"/>
          <w:szCs w:val="28"/>
        </w:rPr>
        <w:t>6</w:t>
      </w:r>
      <w:r>
        <w:rPr>
          <w:rFonts w:ascii="Times New Roman" w:hAnsi="Times New Roman" w:eastAsia="宋体" w:cs="Times New Roman"/>
          <w:sz w:val="28"/>
          <w:szCs w:val="28"/>
        </w:rPr>
        <w:t>及3.1-</w:t>
      </w:r>
      <w:r>
        <w:rPr>
          <w:rFonts w:hint="eastAsia" w:ascii="Times New Roman" w:hAnsi="Times New Roman" w:eastAsia="宋体" w:cs="Times New Roman"/>
          <w:sz w:val="28"/>
          <w:szCs w:val="28"/>
        </w:rPr>
        <w:t>7</w:t>
      </w:r>
      <w:r>
        <w:rPr>
          <w:rFonts w:ascii="Times New Roman" w:hAnsi="Times New Roman" w:eastAsia="宋体" w:cs="Times New Roman"/>
          <w:sz w:val="28"/>
          <w:szCs w:val="28"/>
          <w:lang w:val="zh-CN"/>
        </w:rPr>
        <w:t>可以看出，企业后</w:t>
      </w:r>
      <w:r>
        <w:rPr>
          <w:rFonts w:hint="eastAsia" w:ascii="Times New Roman" w:hAnsi="Times New Roman" w:eastAsia="宋体" w:cs="Times New Roman"/>
          <w:sz w:val="28"/>
          <w:szCs w:val="28"/>
        </w:rPr>
        <w:t>变动后</w:t>
      </w:r>
      <w:r>
        <w:rPr>
          <w:rFonts w:ascii="Times New Roman" w:hAnsi="Times New Roman" w:eastAsia="宋体" w:cs="Times New Roman"/>
          <w:sz w:val="28"/>
          <w:szCs w:val="28"/>
          <w:lang w:val="zh-CN"/>
        </w:rPr>
        <w:t>废气</w:t>
      </w:r>
      <w:r>
        <w:rPr>
          <w:rFonts w:hint="eastAsia" w:ascii="Times New Roman" w:hAnsi="Times New Roman" w:eastAsia="宋体" w:cs="Times New Roman"/>
          <w:sz w:val="28"/>
          <w:szCs w:val="28"/>
        </w:rPr>
        <w:t>排放总量</w:t>
      </w:r>
      <w:r>
        <w:rPr>
          <w:rFonts w:ascii="Times New Roman" w:hAnsi="Times New Roman" w:eastAsia="宋体" w:cs="Times New Roman"/>
          <w:sz w:val="28"/>
          <w:szCs w:val="28"/>
          <w:lang w:val="zh-CN"/>
        </w:rPr>
        <w:t>与</w:t>
      </w:r>
      <w:r>
        <w:rPr>
          <w:rFonts w:hint="eastAsia" w:ascii="Times New Roman" w:hAnsi="Times New Roman" w:eastAsia="宋体" w:cs="Times New Roman"/>
          <w:sz w:val="28"/>
          <w:szCs w:val="28"/>
        </w:rPr>
        <w:t>变动前</w:t>
      </w:r>
      <w:r>
        <w:rPr>
          <w:rFonts w:ascii="Times New Roman" w:hAnsi="Times New Roman" w:eastAsia="宋体" w:cs="Times New Roman"/>
          <w:sz w:val="28"/>
          <w:szCs w:val="28"/>
          <w:lang w:val="zh-CN"/>
        </w:rPr>
        <w:t>相比</w:t>
      </w:r>
      <w:r>
        <w:rPr>
          <w:rFonts w:ascii="Times New Roman" w:hAnsi="Times New Roman" w:eastAsia="宋体" w:cs="Times New Roman"/>
          <w:sz w:val="28"/>
          <w:szCs w:val="28"/>
        </w:rPr>
        <w:t>各污染物污染源强均不增加。</w:t>
      </w:r>
      <w:r>
        <w:rPr>
          <w:rFonts w:hint="eastAsia" w:ascii="Times New Roman" w:hAnsi="Times New Roman" w:eastAsia="宋体" w:cs="Times New Roman"/>
          <w:sz w:val="28"/>
          <w:szCs w:val="28"/>
        </w:rPr>
        <w:t>其中因燃料由柴油改为使用天然气，颗粒物、二氧化硫、氮氧化物排放量减少；本次变动后企业部分原料改为使用旧沥青混合料，但同时新沥青的使用量减少，故沥青烟气的排放量并不发生变化，仅为DA002排气筒中的沥青烟排放量增加，同时DA003排气筒中的沥青烟气排放量相应减少。</w:t>
      </w:r>
    </w:p>
    <w:p>
      <w:pPr>
        <w:spacing w:line="500" w:lineRule="exact"/>
        <w:jc w:val="left"/>
        <w:rPr>
          <w:rFonts w:ascii="Times New Roman" w:hAnsi="Times New Roman" w:eastAsia="宋体" w:cs="Times New Roman"/>
          <w:b/>
          <w:bCs/>
          <w:szCs w:val="24"/>
        </w:rPr>
      </w:pPr>
      <w:r>
        <w:rPr>
          <w:rFonts w:ascii="Times New Roman" w:hAnsi="Times New Roman" w:eastAsia="宋体" w:cs="Times New Roman"/>
          <w:b/>
          <w:bCs/>
          <w:sz w:val="28"/>
          <w:szCs w:val="28"/>
        </w:rPr>
        <w:t>变动后大气预测结果及评价</w:t>
      </w:r>
    </w:p>
    <w:p>
      <w:pPr>
        <w:spacing w:line="50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项目需重新进行评价的有排气筒1个（DA002），据《环境影响评价技术导则大气环境》（HJ2.2-2018）的要求，选择推荐的估算模式对项目的大气环境评价工作进行分级。</w:t>
      </w:r>
    </w:p>
    <w:p>
      <w:pPr>
        <w:spacing w:line="360" w:lineRule="auto"/>
        <w:ind w:firstLine="562" w:firstLineChars="200"/>
        <w:jc w:val="center"/>
        <w:rPr>
          <w:rFonts w:ascii="Times New Roman" w:hAnsi="Times New Roman" w:eastAsia="宋体" w:cs="Times New Roman"/>
          <w:b/>
          <w:bCs/>
          <w:sz w:val="28"/>
          <w:szCs w:val="28"/>
        </w:rPr>
      </w:pPr>
      <w:r>
        <w:rPr>
          <w:rFonts w:ascii="Times New Roman" w:hAnsi="Times New Roman" w:eastAsia="宋体" w:cs="Times New Roman"/>
          <w:b/>
          <w:bCs/>
          <w:sz w:val="28"/>
          <w:szCs w:val="28"/>
        </w:rPr>
        <w:t>表3.1-</w:t>
      </w:r>
      <w:r>
        <w:rPr>
          <w:rFonts w:hint="eastAsia" w:ascii="Times New Roman" w:hAnsi="Times New Roman" w:eastAsia="宋体" w:cs="Times New Roman"/>
          <w:b/>
          <w:bCs/>
          <w:sz w:val="28"/>
          <w:szCs w:val="28"/>
        </w:rPr>
        <w:t>8</w:t>
      </w:r>
      <w:r>
        <w:rPr>
          <w:rFonts w:ascii="Times New Roman" w:hAnsi="Times New Roman" w:eastAsia="宋体" w:cs="Times New Roman"/>
          <w:b/>
          <w:bCs/>
          <w:sz w:val="28"/>
          <w:szCs w:val="28"/>
        </w:rPr>
        <w:t>大气环境影响评价等级表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28" w:type="dxa"/>
          <w:left w:w="108" w:type="dxa"/>
          <w:bottom w:w="28" w:type="dxa"/>
          <w:right w:w="108" w:type="dxa"/>
        </w:tblCellMar>
      </w:tblPr>
      <w:tblGrid>
        <w:gridCol w:w="2009"/>
        <w:gridCol w:w="6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评价工作等级</w:t>
            </w:r>
          </w:p>
        </w:tc>
        <w:tc>
          <w:tcPr>
            <w:tcW w:w="382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评价工作分级判据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一级</w:t>
            </w:r>
          </w:p>
        </w:tc>
        <w:tc>
          <w:tcPr>
            <w:tcW w:w="382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P</w:t>
            </w:r>
            <w:r>
              <w:rPr>
                <w:rFonts w:ascii="Times New Roman" w:hAnsi="Times New Roman" w:eastAsia="宋体" w:cs="Times New Roman"/>
                <w:szCs w:val="24"/>
                <w:vertAlign w:val="subscript"/>
              </w:rPr>
              <w:t>max</w:t>
            </w:r>
            <w:r>
              <w:rPr>
                <w:rFonts w:ascii="Times New Roman" w:hAnsi="Times New Roman" w:eastAsia="宋体" w:cs="Times New Roman"/>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二级</w:t>
            </w:r>
          </w:p>
        </w:tc>
        <w:tc>
          <w:tcPr>
            <w:tcW w:w="382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1%≤P</w:t>
            </w:r>
            <w:r>
              <w:rPr>
                <w:rFonts w:ascii="Times New Roman" w:hAnsi="Times New Roman" w:eastAsia="宋体" w:cs="Times New Roman"/>
                <w:szCs w:val="24"/>
                <w:vertAlign w:val="subscript"/>
              </w:rPr>
              <w:t>max</w:t>
            </w:r>
            <w:r>
              <w:rPr>
                <w:rFonts w:ascii="Times New Roman" w:hAnsi="Times New Roman" w:eastAsia="宋体" w:cs="Times New Roman"/>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369" w:hRule="atLeast"/>
          <w:jc w:val="center"/>
        </w:trPr>
        <w:tc>
          <w:tcPr>
            <w:tcW w:w="1179"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三级</w:t>
            </w:r>
          </w:p>
        </w:tc>
        <w:tc>
          <w:tcPr>
            <w:tcW w:w="382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4"/>
              </w:rPr>
            </w:pPr>
            <w:r>
              <w:rPr>
                <w:rFonts w:ascii="Times New Roman" w:hAnsi="Times New Roman" w:eastAsia="宋体" w:cs="Times New Roman"/>
                <w:szCs w:val="24"/>
              </w:rPr>
              <w:t>P</w:t>
            </w:r>
            <w:r>
              <w:rPr>
                <w:rFonts w:ascii="Times New Roman" w:hAnsi="Times New Roman" w:eastAsia="宋体" w:cs="Times New Roman"/>
                <w:szCs w:val="24"/>
                <w:vertAlign w:val="subscript"/>
              </w:rPr>
              <w:t>max</w:t>
            </w:r>
            <w:r>
              <w:rPr>
                <w:rFonts w:ascii="Times New Roman" w:hAnsi="Times New Roman" w:eastAsia="宋体" w:cs="Times New Roman"/>
                <w:szCs w:val="24"/>
              </w:rPr>
              <w:t>＜1%</w:t>
            </w:r>
          </w:p>
        </w:tc>
      </w:tr>
    </w:tbl>
    <w:p>
      <w:pPr>
        <w:spacing w:line="50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估算模型参数见表3.1-</w:t>
      </w:r>
      <w:r>
        <w:rPr>
          <w:rFonts w:hint="eastAsia" w:ascii="Times New Roman" w:hAnsi="Times New Roman" w:eastAsia="宋体" w:cs="Times New Roman"/>
          <w:sz w:val="28"/>
          <w:szCs w:val="28"/>
        </w:rPr>
        <w:t>9</w:t>
      </w:r>
      <w:r>
        <w:rPr>
          <w:rFonts w:ascii="Times New Roman" w:hAnsi="Times New Roman" w:eastAsia="宋体" w:cs="Times New Roman"/>
          <w:sz w:val="28"/>
          <w:szCs w:val="28"/>
        </w:rPr>
        <w:t>。</w:t>
      </w:r>
    </w:p>
    <w:p>
      <w:pPr>
        <w:spacing w:line="500" w:lineRule="exact"/>
        <w:jc w:val="center"/>
        <w:rPr>
          <w:rFonts w:ascii="Times New Roman" w:hAnsi="Times New Roman" w:eastAsia="宋体" w:cs="Times New Roman"/>
          <w:b/>
          <w:bCs/>
          <w:sz w:val="28"/>
          <w:szCs w:val="28"/>
        </w:rPr>
      </w:pPr>
      <w:r>
        <w:rPr>
          <w:rFonts w:ascii="Times New Roman" w:hAnsi="Times New Roman" w:eastAsia="宋体" w:cs="Times New Roman"/>
          <w:b/>
          <w:bCs/>
          <w:sz w:val="28"/>
          <w:szCs w:val="28"/>
        </w:rPr>
        <w:t>表3.1-</w:t>
      </w:r>
      <w:r>
        <w:rPr>
          <w:rFonts w:hint="eastAsia" w:ascii="Times New Roman" w:hAnsi="Times New Roman" w:eastAsia="宋体" w:cs="Times New Roman"/>
          <w:b/>
          <w:bCs/>
          <w:sz w:val="28"/>
          <w:szCs w:val="28"/>
        </w:rPr>
        <w:t>9</w:t>
      </w:r>
      <w:r>
        <w:rPr>
          <w:rFonts w:ascii="Times New Roman" w:hAnsi="Times New Roman" w:eastAsia="宋体" w:cs="Times New Roman"/>
          <w:b/>
          <w:bCs/>
          <w:sz w:val="28"/>
          <w:szCs w:val="28"/>
        </w:rPr>
        <w:t xml:space="preserve"> 估算模型参数表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4"/>
        <w:gridCol w:w="3095"/>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参数</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651"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城市/农村选项</w:t>
            </w: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城市/农村</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人口数（城市选项时）</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最高环境温度/℃</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最低环境温度/℃</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土地利用类型</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农作地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46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区域湿度条件</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半干旱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651"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是否考虑地形</w:t>
            </w: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是/否</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地形数据分辨率/m</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651"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是否考虑海岸线熏烟</w:t>
            </w: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是/否</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海岸线距离/m</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Cs w:val="24"/>
              </w:rPr>
            </w:pPr>
          </w:p>
        </w:tc>
        <w:tc>
          <w:tcPr>
            <w:tcW w:w="18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海岸线方向/°</w:t>
            </w:r>
          </w:p>
        </w:tc>
        <w:tc>
          <w:tcPr>
            <w:tcW w:w="1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4"/>
              </w:rPr>
            </w:pPr>
            <w:r>
              <w:rPr>
                <w:rFonts w:ascii="Times New Roman" w:hAnsi="Times New Roman" w:eastAsia="宋体" w:cs="Times New Roman"/>
                <w:kern w:val="0"/>
                <w:szCs w:val="24"/>
              </w:rPr>
              <w:t>/</w:t>
            </w:r>
          </w:p>
        </w:tc>
      </w:tr>
    </w:tbl>
    <w:p>
      <w:pPr>
        <w:snapToGrid w:val="0"/>
        <w:spacing w:line="500" w:lineRule="exact"/>
        <w:jc w:val="center"/>
        <w:rPr>
          <w:rFonts w:ascii="Times New Roman" w:hAnsi="Times New Roman" w:eastAsia="宋体" w:cs="Times New Roman"/>
          <w:b/>
          <w:sz w:val="24"/>
          <w:szCs w:val="24"/>
        </w:rPr>
      </w:pPr>
      <w:r>
        <w:rPr>
          <w:rFonts w:ascii="Times New Roman" w:hAnsi="Times New Roman" w:eastAsia="宋体" w:cs="Times New Roman"/>
          <w:b/>
          <w:sz w:val="28"/>
          <w:szCs w:val="28"/>
        </w:rPr>
        <w:t>表3.1-</w:t>
      </w:r>
      <w:r>
        <w:rPr>
          <w:rFonts w:hint="eastAsia" w:ascii="Times New Roman" w:hAnsi="Times New Roman" w:eastAsia="宋体" w:cs="Times New Roman"/>
          <w:b/>
          <w:sz w:val="28"/>
          <w:szCs w:val="28"/>
        </w:rPr>
        <w:t>10</w:t>
      </w:r>
      <w:r>
        <w:rPr>
          <w:rFonts w:ascii="Times New Roman" w:hAnsi="Times New Roman" w:eastAsia="宋体" w:cs="Times New Roman"/>
          <w:b/>
          <w:sz w:val="28"/>
          <w:szCs w:val="28"/>
        </w:rPr>
        <w:t>点源源强调查参数表</w:t>
      </w:r>
    </w:p>
    <w:tbl>
      <w:tblPr>
        <w:tblStyle w:val="33"/>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67"/>
        <w:gridCol w:w="807"/>
        <w:gridCol w:w="716"/>
        <w:gridCol w:w="810"/>
        <w:gridCol w:w="706"/>
        <w:gridCol w:w="684"/>
        <w:gridCol w:w="537"/>
        <w:gridCol w:w="585"/>
        <w:gridCol w:w="795"/>
        <w:gridCol w:w="675"/>
        <w:gridCol w:w="731"/>
        <w:gridCol w:w="6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667"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污染源名称</w:t>
            </w:r>
          </w:p>
        </w:tc>
        <w:tc>
          <w:tcPr>
            <w:tcW w:w="1523" w:type="dxa"/>
            <w:gridSpan w:val="2"/>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排气筒底部中心坐标(</w:t>
            </w:r>
            <w:r>
              <w:rPr>
                <w:rFonts w:ascii="Times New Roman" w:hAnsi="Times New Roman" w:eastAsia="宋体" w:cs="Times New Roman"/>
                <w:szCs w:val="21"/>
                <w:vertAlign w:val="superscript"/>
              </w:rPr>
              <w:t>o</w:t>
            </w:r>
            <w:r>
              <w:rPr>
                <w:rFonts w:ascii="Times New Roman" w:hAnsi="Times New Roman" w:eastAsia="宋体" w:cs="Times New Roman"/>
                <w:szCs w:val="21"/>
              </w:rPr>
              <w:t>)</w:t>
            </w:r>
          </w:p>
        </w:tc>
        <w:tc>
          <w:tcPr>
            <w:tcW w:w="810" w:type="dxa"/>
            <w:vMerge w:val="restart"/>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排气筒底部海拔高度(m)</w:t>
            </w:r>
          </w:p>
        </w:tc>
        <w:tc>
          <w:tcPr>
            <w:tcW w:w="2512" w:type="dxa"/>
            <w:gridSpan w:val="4"/>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排气筒参数</w:t>
            </w:r>
          </w:p>
        </w:tc>
        <w:tc>
          <w:tcPr>
            <w:tcW w:w="795"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bCs/>
                <w:kern w:val="0"/>
                <w:szCs w:val="21"/>
              </w:rPr>
              <w:t>年排放小时数/</w:t>
            </w:r>
            <w:r>
              <w:rPr>
                <w:rFonts w:ascii="Times New Roman" w:hAnsi="Times New Roman" w:eastAsia="宋体" w:cs="Times New Roman"/>
                <w:kern w:val="0"/>
                <w:szCs w:val="21"/>
              </w:rPr>
              <w:t>h</w:t>
            </w:r>
          </w:p>
        </w:tc>
        <w:tc>
          <w:tcPr>
            <w:tcW w:w="675"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bCs/>
                <w:kern w:val="0"/>
                <w:szCs w:val="21"/>
              </w:rPr>
              <w:t>排放工况</w:t>
            </w:r>
          </w:p>
        </w:tc>
        <w:tc>
          <w:tcPr>
            <w:tcW w:w="731" w:type="dxa"/>
            <w:vMerge w:val="restart"/>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污染物名称</w:t>
            </w:r>
          </w:p>
        </w:tc>
        <w:tc>
          <w:tcPr>
            <w:tcW w:w="649" w:type="dxa"/>
            <w:vMerge w:val="restart"/>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排放速率</w:t>
            </w:r>
            <w:r>
              <w:rPr>
                <w:rFonts w:ascii="Times New Roman" w:hAnsi="Times New Roman" w:eastAsia="宋体" w:cs="Times New Roman"/>
                <w:bCs/>
                <w:kern w:val="0"/>
                <w:szCs w:val="21"/>
              </w:rPr>
              <w:t>/(</w:t>
            </w:r>
            <w:r>
              <w:rPr>
                <w:rFonts w:ascii="Times New Roman" w:hAnsi="Times New Roman" w:eastAsia="宋体" w:cs="Times New Roman"/>
                <w:kern w:val="0"/>
                <w:szCs w:val="21"/>
              </w:rPr>
              <w:t>kg/h</w:t>
            </w:r>
            <w:r>
              <w:rPr>
                <w:rFonts w:ascii="Times New Roman" w:hAnsi="Times New Roman" w:eastAsia="宋体" w:cs="Times New Roman"/>
                <w:bCs/>
                <w:kern w:val="0"/>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38" w:hRule="atLeast"/>
          <w:jc w:val="center"/>
        </w:trPr>
        <w:tc>
          <w:tcPr>
            <w:tcW w:w="667" w:type="dxa"/>
            <w:vMerge w:val="continue"/>
            <w:vAlign w:val="center"/>
          </w:tcPr>
          <w:p>
            <w:pPr>
              <w:widowControl/>
              <w:spacing w:line="320" w:lineRule="exact"/>
              <w:jc w:val="center"/>
              <w:rPr>
                <w:rFonts w:ascii="Times New Roman" w:hAnsi="Times New Roman" w:eastAsia="宋体" w:cs="Times New Roman"/>
                <w:szCs w:val="21"/>
              </w:rPr>
            </w:pPr>
            <w:bookmarkStart w:id="17" w:name="OLE_LINK10" w:colFirst="7" w:colLast="7"/>
          </w:p>
        </w:tc>
        <w:tc>
          <w:tcPr>
            <w:tcW w:w="807" w:type="dxa"/>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经度</w:t>
            </w:r>
          </w:p>
        </w:tc>
        <w:tc>
          <w:tcPr>
            <w:tcW w:w="716" w:type="dxa"/>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纬度</w:t>
            </w:r>
          </w:p>
        </w:tc>
        <w:tc>
          <w:tcPr>
            <w:tcW w:w="810" w:type="dxa"/>
            <w:vMerge w:val="continue"/>
            <w:vAlign w:val="center"/>
          </w:tcPr>
          <w:p>
            <w:pPr>
              <w:widowControl/>
              <w:spacing w:line="320" w:lineRule="exact"/>
              <w:jc w:val="center"/>
              <w:rPr>
                <w:rFonts w:ascii="Times New Roman" w:hAnsi="Times New Roman" w:eastAsia="宋体" w:cs="Times New Roman"/>
                <w:szCs w:val="21"/>
              </w:rPr>
            </w:pPr>
          </w:p>
        </w:tc>
        <w:tc>
          <w:tcPr>
            <w:tcW w:w="706" w:type="dxa"/>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高度(m)</w:t>
            </w:r>
          </w:p>
        </w:tc>
        <w:tc>
          <w:tcPr>
            <w:tcW w:w="684" w:type="dxa"/>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内径(m)</w:t>
            </w:r>
          </w:p>
        </w:tc>
        <w:tc>
          <w:tcPr>
            <w:tcW w:w="537" w:type="dxa"/>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温度(℃)</w:t>
            </w:r>
          </w:p>
        </w:tc>
        <w:tc>
          <w:tcPr>
            <w:tcW w:w="585" w:type="dxa"/>
            <w:vAlign w:val="center"/>
          </w:tcPr>
          <w:p>
            <w:pPr>
              <w:snapToGrid w:val="0"/>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流速(m/s)</w:t>
            </w:r>
          </w:p>
        </w:tc>
        <w:tc>
          <w:tcPr>
            <w:tcW w:w="795" w:type="dxa"/>
            <w:vMerge w:val="continue"/>
            <w:vAlign w:val="center"/>
          </w:tcPr>
          <w:p>
            <w:pPr>
              <w:widowControl/>
              <w:spacing w:line="320" w:lineRule="exact"/>
              <w:jc w:val="center"/>
              <w:rPr>
                <w:rFonts w:ascii="Times New Roman" w:hAnsi="Times New Roman" w:eastAsia="宋体" w:cs="Times New Roman"/>
                <w:szCs w:val="21"/>
              </w:rPr>
            </w:pPr>
          </w:p>
        </w:tc>
        <w:tc>
          <w:tcPr>
            <w:tcW w:w="675" w:type="dxa"/>
            <w:vMerge w:val="continue"/>
            <w:vAlign w:val="center"/>
          </w:tcPr>
          <w:p>
            <w:pPr>
              <w:widowControl/>
              <w:spacing w:line="320" w:lineRule="exact"/>
              <w:jc w:val="center"/>
              <w:rPr>
                <w:rFonts w:ascii="Times New Roman" w:hAnsi="Times New Roman" w:eastAsia="宋体" w:cs="Times New Roman"/>
                <w:szCs w:val="21"/>
              </w:rPr>
            </w:pPr>
          </w:p>
        </w:tc>
        <w:tc>
          <w:tcPr>
            <w:tcW w:w="731" w:type="dxa"/>
            <w:vMerge w:val="continue"/>
            <w:vAlign w:val="center"/>
          </w:tcPr>
          <w:p>
            <w:pPr>
              <w:widowControl/>
              <w:spacing w:line="320" w:lineRule="exact"/>
              <w:jc w:val="center"/>
              <w:rPr>
                <w:rFonts w:ascii="Times New Roman" w:hAnsi="Times New Roman" w:eastAsia="宋体" w:cs="Times New Roman"/>
                <w:szCs w:val="21"/>
              </w:rPr>
            </w:pPr>
          </w:p>
        </w:tc>
        <w:tc>
          <w:tcPr>
            <w:tcW w:w="649" w:type="dxa"/>
            <w:vMerge w:val="continue"/>
            <w:vAlign w:val="center"/>
          </w:tcPr>
          <w:p>
            <w:pPr>
              <w:widowControl/>
              <w:spacing w:line="320" w:lineRule="exact"/>
              <w:jc w:val="center"/>
              <w:rPr>
                <w:rFonts w:ascii="Times New Roman" w:hAnsi="Times New Roman" w:eastAsia="宋体" w:cs="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8" w:hRule="atLeast"/>
          <w:jc w:val="center"/>
        </w:trPr>
        <w:tc>
          <w:tcPr>
            <w:tcW w:w="667" w:type="dxa"/>
            <w:vMerge w:val="restart"/>
            <w:vAlign w:val="center"/>
          </w:tcPr>
          <w:p>
            <w:pPr>
              <w:spacing w:line="320" w:lineRule="exact"/>
              <w:jc w:val="center"/>
              <w:rPr>
                <w:rFonts w:ascii="Times New Roman" w:hAnsi="Times New Roman" w:eastAsia="宋体" w:cs="Times New Roman"/>
                <w:snapToGrid w:val="0"/>
                <w:kern w:val="0"/>
                <w:szCs w:val="21"/>
              </w:rPr>
            </w:pPr>
            <w:r>
              <w:rPr>
                <w:rFonts w:ascii="Times New Roman" w:hAnsi="Times New Roman" w:eastAsia="宋体" w:cs="Times New Roman"/>
                <w:bCs/>
                <w:szCs w:val="21"/>
              </w:rPr>
              <w:t>DA002</w:t>
            </w:r>
          </w:p>
        </w:tc>
        <w:tc>
          <w:tcPr>
            <w:tcW w:w="807" w:type="dxa"/>
            <w:vMerge w:val="restart"/>
            <w:vAlign w:val="center"/>
          </w:tcPr>
          <w:p>
            <w:pPr>
              <w:spacing w:line="320" w:lineRule="exact"/>
              <w:jc w:val="center"/>
              <w:rPr>
                <w:rFonts w:ascii="Times New Roman" w:hAnsi="Times New Roman" w:eastAsia="宋体" w:cs="Times New Roman"/>
                <w:bCs/>
                <w:szCs w:val="21"/>
              </w:rPr>
            </w:pPr>
            <w:r>
              <w:rPr>
                <w:rFonts w:ascii="Times New Roman" w:hAnsi="Times New Roman" w:eastAsia="宋体" w:cs="Times New Roman"/>
                <w:bCs/>
                <w:szCs w:val="21"/>
              </w:rPr>
              <w:t>119度 5分 4.42秒</w:t>
            </w:r>
          </w:p>
        </w:tc>
        <w:tc>
          <w:tcPr>
            <w:tcW w:w="716" w:type="dxa"/>
            <w:vMerge w:val="restart"/>
            <w:vAlign w:val="center"/>
          </w:tcPr>
          <w:p>
            <w:pPr>
              <w:spacing w:line="320" w:lineRule="exact"/>
              <w:jc w:val="center"/>
              <w:rPr>
                <w:rFonts w:ascii="Times New Roman" w:hAnsi="Times New Roman" w:eastAsia="宋体" w:cs="Times New Roman"/>
                <w:bCs/>
                <w:szCs w:val="21"/>
              </w:rPr>
            </w:pPr>
            <w:r>
              <w:rPr>
                <w:rFonts w:ascii="Times New Roman" w:hAnsi="Times New Roman" w:eastAsia="宋体" w:cs="Times New Roman"/>
                <w:bCs/>
                <w:szCs w:val="21"/>
              </w:rPr>
              <w:t>34度 41分 12.62秒</w:t>
            </w:r>
          </w:p>
        </w:tc>
        <w:tc>
          <w:tcPr>
            <w:tcW w:w="810" w:type="dxa"/>
            <w:vMerge w:val="restart"/>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706"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40</w:t>
            </w:r>
          </w:p>
        </w:tc>
        <w:tc>
          <w:tcPr>
            <w:tcW w:w="684"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1.4</w:t>
            </w:r>
          </w:p>
        </w:tc>
        <w:tc>
          <w:tcPr>
            <w:tcW w:w="537"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70</w:t>
            </w:r>
          </w:p>
        </w:tc>
        <w:tc>
          <w:tcPr>
            <w:tcW w:w="585"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34.51</w:t>
            </w:r>
          </w:p>
        </w:tc>
        <w:tc>
          <w:tcPr>
            <w:tcW w:w="795"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1440</w:t>
            </w:r>
          </w:p>
        </w:tc>
        <w:tc>
          <w:tcPr>
            <w:tcW w:w="675" w:type="dxa"/>
            <w:vMerge w:val="restart"/>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kern w:val="0"/>
                <w:szCs w:val="21"/>
              </w:rPr>
              <w:t>间歇排放</w:t>
            </w:r>
          </w:p>
        </w:tc>
        <w:tc>
          <w:tcPr>
            <w:tcW w:w="731" w:type="dxa"/>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烟（粉）尘</w:t>
            </w:r>
          </w:p>
        </w:tc>
        <w:tc>
          <w:tcPr>
            <w:tcW w:w="649"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 xml:space="preserve">2.3961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8" w:hRule="atLeast"/>
          <w:jc w:val="center"/>
        </w:trPr>
        <w:tc>
          <w:tcPr>
            <w:tcW w:w="667" w:type="dxa"/>
            <w:vMerge w:val="continue"/>
            <w:vAlign w:val="center"/>
          </w:tcPr>
          <w:p>
            <w:pPr>
              <w:jc w:val="center"/>
              <w:rPr>
                <w:rFonts w:ascii="Times New Roman" w:hAnsi="Times New Roman" w:eastAsia="宋体" w:cs="Times New Roman"/>
              </w:rPr>
            </w:pPr>
          </w:p>
        </w:tc>
        <w:tc>
          <w:tcPr>
            <w:tcW w:w="807" w:type="dxa"/>
            <w:vMerge w:val="continue"/>
            <w:vAlign w:val="center"/>
          </w:tcPr>
          <w:p>
            <w:pPr>
              <w:jc w:val="center"/>
              <w:rPr>
                <w:rFonts w:ascii="Times New Roman" w:hAnsi="Times New Roman" w:eastAsia="宋体" w:cs="Times New Roman"/>
              </w:rPr>
            </w:pPr>
          </w:p>
        </w:tc>
        <w:tc>
          <w:tcPr>
            <w:tcW w:w="716" w:type="dxa"/>
            <w:vMerge w:val="continue"/>
            <w:vAlign w:val="center"/>
          </w:tcPr>
          <w:p>
            <w:pPr>
              <w:jc w:val="center"/>
              <w:rPr>
                <w:rFonts w:ascii="Times New Roman" w:hAnsi="Times New Roman" w:eastAsia="宋体" w:cs="Times New Roman"/>
              </w:rPr>
            </w:pPr>
          </w:p>
        </w:tc>
        <w:tc>
          <w:tcPr>
            <w:tcW w:w="810" w:type="dxa"/>
            <w:vMerge w:val="continue"/>
            <w:vAlign w:val="center"/>
          </w:tcPr>
          <w:p>
            <w:pPr>
              <w:jc w:val="center"/>
              <w:rPr>
                <w:rFonts w:ascii="Times New Roman" w:hAnsi="Times New Roman" w:eastAsia="宋体" w:cs="Times New Roman"/>
              </w:rPr>
            </w:pPr>
          </w:p>
        </w:tc>
        <w:tc>
          <w:tcPr>
            <w:tcW w:w="706" w:type="dxa"/>
            <w:vMerge w:val="continue"/>
            <w:vAlign w:val="center"/>
          </w:tcPr>
          <w:p>
            <w:pPr>
              <w:jc w:val="center"/>
              <w:rPr>
                <w:rFonts w:ascii="Times New Roman" w:hAnsi="Times New Roman" w:eastAsia="宋体" w:cs="Times New Roman"/>
              </w:rPr>
            </w:pPr>
          </w:p>
        </w:tc>
        <w:tc>
          <w:tcPr>
            <w:tcW w:w="684" w:type="dxa"/>
            <w:vMerge w:val="continue"/>
            <w:vAlign w:val="center"/>
          </w:tcPr>
          <w:p>
            <w:pPr>
              <w:jc w:val="center"/>
              <w:rPr>
                <w:rFonts w:ascii="Times New Roman" w:hAnsi="Times New Roman" w:eastAsia="宋体" w:cs="Times New Roman"/>
              </w:rPr>
            </w:pPr>
          </w:p>
        </w:tc>
        <w:tc>
          <w:tcPr>
            <w:tcW w:w="537" w:type="dxa"/>
            <w:vMerge w:val="continue"/>
            <w:vAlign w:val="center"/>
          </w:tcPr>
          <w:p>
            <w:pPr>
              <w:jc w:val="center"/>
              <w:rPr>
                <w:rFonts w:ascii="Times New Roman" w:hAnsi="Times New Roman" w:eastAsia="宋体" w:cs="Times New Roman"/>
              </w:rPr>
            </w:pPr>
          </w:p>
        </w:tc>
        <w:tc>
          <w:tcPr>
            <w:tcW w:w="585" w:type="dxa"/>
            <w:vMerge w:val="continue"/>
            <w:vAlign w:val="center"/>
          </w:tcPr>
          <w:p>
            <w:pPr>
              <w:jc w:val="center"/>
              <w:rPr>
                <w:rFonts w:ascii="Times New Roman" w:hAnsi="Times New Roman" w:eastAsia="宋体" w:cs="Times New Roman"/>
              </w:rPr>
            </w:pPr>
          </w:p>
        </w:tc>
        <w:tc>
          <w:tcPr>
            <w:tcW w:w="795" w:type="dxa"/>
            <w:vMerge w:val="continue"/>
            <w:vAlign w:val="center"/>
          </w:tcPr>
          <w:p>
            <w:pPr>
              <w:jc w:val="center"/>
              <w:rPr>
                <w:rFonts w:ascii="Times New Roman" w:hAnsi="Times New Roman" w:eastAsia="宋体" w:cs="Times New Roman"/>
              </w:rPr>
            </w:pPr>
          </w:p>
        </w:tc>
        <w:tc>
          <w:tcPr>
            <w:tcW w:w="675" w:type="dxa"/>
            <w:vMerge w:val="continue"/>
            <w:vAlign w:val="center"/>
          </w:tcPr>
          <w:p>
            <w:pPr>
              <w:jc w:val="center"/>
              <w:rPr>
                <w:rFonts w:ascii="Times New Roman" w:hAnsi="Times New Roman" w:eastAsia="宋体" w:cs="Times New Roman"/>
              </w:rPr>
            </w:pPr>
          </w:p>
        </w:tc>
        <w:tc>
          <w:tcPr>
            <w:tcW w:w="731" w:type="dxa"/>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SO</w:t>
            </w:r>
            <w:r>
              <w:rPr>
                <w:rFonts w:ascii="Times New Roman" w:hAnsi="Times New Roman" w:eastAsia="宋体" w:cs="Times New Roman"/>
                <w:kern w:val="0"/>
                <w:szCs w:val="21"/>
                <w:vertAlign w:val="subscript"/>
              </w:rPr>
              <w:t>2</w:t>
            </w:r>
          </w:p>
        </w:tc>
        <w:tc>
          <w:tcPr>
            <w:tcW w:w="649"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 xml:space="preserve">0.0167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8" w:hRule="atLeast"/>
          <w:jc w:val="center"/>
        </w:trPr>
        <w:tc>
          <w:tcPr>
            <w:tcW w:w="667" w:type="dxa"/>
            <w:vMerge w:val="continue"/>
            <w:vAlign w:val="center"/>
          </w:tcPr>
          <w:p>
            <w:pPr>
              <w:jc w:val="center"/>
              <w:rPr>
                <w:rFonts w:ascii="Times New Roman" w:hAnsi="Times New Roman" w:eastAsia="宋体" w:cs="Times New Roman"/>
                <w:szCs w:val="21"/>
              </w:rPr>
            </w:pPr>
          </w:p>
        </w:tc>
        <w:tc>
          <w:tcPr>
            <w:tcW w:w="807" w:type="dxa"/>
            <w:vMerge w:val="continue"/>
            <w:vAlign w:val="center"/>
          </w:tcPr>
          <w:p>
            <w:pPr>
              <w:jc w:val="center"/>
              <w:rPr>
                <w:rFonts w:ascii="Times New Roman" w:hAnsi="Times New Roman" w:eastAsia="宋体" w:cs="Times New Roman"/>
                <w:szCs w:val="21"/>
              </w:rPr>
            </w:pPr>
          </w:p>
        </w:tc>
        <w:tc>
          <w:tcPr>
            <w:tcW w:w="716" w:type="dxa"/>
            <w:vMerge w:val="continue"/>
            <w:vAlign w:val="center"/>
          </w:tcPr>
          <w:p>
            <w:pPr>
              <w:jc w:val="center"/>
              <w:rPr>
                <w:rFonts w:ascii="Times New Roman" w:hAnsi="Times New Roman" w:eastAsia="宋体" w:cs="Times New Roman"/>
                <w:szCs w:val="21"/>
              </w:rPr>
            </w:pPr>
          </w:p>
        </w:tc>
        <w:tc>
          <w:tcPr>
            <w:tcW w:w="810" w:type="dxa"/>
            <w:vMerge w:val="continue"/>
            <w:vAlign w:val="center"/>
          </w:tcPr>
          <w:p>
            <w:pPr>
              <w:jc w:val="center"/>
              <w:rPr>
                <w:rFonts w:ascii="Times New Roman" w:hAnsi="Times New Roman" w:eastAsia="宋体" w:cs="Times New Roman"/>
                <w:szCs w:val="21"/>
              </w:rPr>
            </w:pPr>
          </w:p>
        </w:tc>
        <w:tc>
          <w:tcPr>
            <w:tcW w:w="706" w:type="dxa"/>
            <w:vMerge w:val="continue"/>
            <w:vAlign w:val="center"/>
          </w:tcPr>
          <w:p>
            <w:pPr>
              <w:jc w:val="center"/>
              <w:rPr>
                <w:rFonts w:ascii="Times New Roman" w:hAnsi="Times New Roman" w:eastAsia="宋体" w:cs="Times New Roman"/>
                <w:szCs w:val="21"/>
              </w:rPr>
            </w:pPr>
          </w:p>
        </w:tc>
        <w:tc>
          <w:tcPr>
            <w:tcW w:w="684" w:type="dxa"/>
            <w:vMerge w:val="continue"/>
            <w:vAlign w:val="center"/>
          </w:tcPr>
          <w:p>
            <w:pPr>
              <w:jc w:val="center"/>
              <w:rPr>
                <w:rFonts w:ascii="Times New Roman" w:hAnsi="Times New Roman" w:eastAsia="宋体" w:cs="Times New Roman"/>
                <w:szCs w:val="21"/>
              </w:rPr>
            </w:pPr>
          </w:p>
        </w:tc>
        <w:tc>
          <w:tcPr>
            <w:tcW w:w="537" w:type="dxa"/>
            <w:vMerge w:val="continue"/>
            <w:vAlign w:val="center"/>
          </w:tcPr>
          <w:p>
            <w:pPr>
              <w:jc w:val="center"/>
              <w:rPr>
                <w:rFonts w:ascii="Times New Roman" w:hAnsi="Times New Roman" w:eastAsia="宋体" w:cs="Times New Roman"/>
                <w:szCs w:val="21"/>
              </w:rPr>
            </w:pPr>
          </w:p>
        </w:tc>
        <w:tc>
          <w:tcPr>
            <w:tcW w:w="585" w:type="dxa"/>
            <w:vMerge w:val="continue"/>
            <w:vAlign w:val="center"/>
          </w:tcPr>
          <w:p>
            <w:pPr>
              <w:jc w:val="center"/>
              <w:rPr>
                <w:rFonts w:ascii="Times New Roman" w:hAnsi="Times New Roman" w:eastAsia="宋体" w:cs="Times New Roman"/>
                <w:szCs w:val="21"/>
              </w:rPr>
            </w:pPr>
          </w:p>
        </w:tc>
        <w:tc>
          <w:tcPr>
            <w:tcW w:w="795" w:type="dxa"/>
            <w:vMerge w:val="continue"/>
            <w:vAlign w:val="center"/>
          </w:tcPr>
          <w:p>
            <w:pPr>
              <w:jc w:val="center"/>
              <w:rPr>
                <w:rFonts w:ascii="Times New Roman" w:hAnsi="Times New Roman" w:eastAsia="宋体" w:cs="Times New Roman"/>
                <w:szCs w:val="21"/>
              </w:rPr>
            </w:pPr>
          </w:p>
        </w:tc>
        <w:tc>
          <w:tcPr>
            <w:tcW w:w="675" w:type="dxa"/>
            <w:vMerge w:val="continue"/>
            <w:vAlign w:val="center"/>
          </w:tcPr>
          <w:p>
            <w:pPr>
              <w:jc w:val="center"/>
              <w:rPr>
                <w:rFonts w:ascii="Times New Roman" w:hAnsi="Times New Roman" w:eastAsia="宋体" w:cs="Times New Roman"/>
                <w:szCs w:val="21"/>
              </w:rPr>
            </w:pPr>
          </w:p>
        </w:tc>
        <w:tc>
          <w:tcPr>
            <w:tcW w:w="731" w:type="dxa"/>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NOx</w:t>
            </w:r>
          </w:p>
        </w:tc>
        <w:tc>
          <w:tcPr>
            <w:tcW w:w="649"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 xml:space="preserve">0.0421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8" w:hRule="atLeast"/>
          <w:jc w:val="center"/>
        </w:trPr>
        <w:tc>
          <w:tcPr>
            <w:tcW w:w="667" w:type="dxa"/>
            <w:vMerge w:val="continue"/>
            <w:vAlign w:val="center"/>
          </w:tcPr>
          <w:p>
            <w:pPr>
              <w:jc w:val="center"/>
              <w:rPr>
                <w:rFonts w:ascii="Times New Roman" w:hAnsi="Times New Roman" w:eastAsia="宋体" w:cs="Times New Roman"/>
                <w:szCs w:val="21"/>
              </w:rPr>
            </w:pPr>
          </w:p>
        </w:tc>
        <w:tc>
          <w:tcPr>
            <w:tcW w:w="807" w:type="dxa"/>
            <w:vMerge w:val="continue"/>
            <w:vAlign w:val="center"/>
          </w:tcPr>
          <w:p>
            <w:pPr>
              <w:jc w:val="center"/>
              <w:rPr>
                <w:rFonts w:ascii="Times New Roman" w:hAnsi="Times New Roman" w:eastAsia="宋体" w:cs="Times New Roman"/>
                <w:szCs w:val="21"/>
              </w:rPr>
            </w:pPr>
          </w:p>
        </w:tc>
        <w:tc>
          <w:tcPr>
            <w:tcW w:w="716" w:type="dxa"/>
            <w:vMerge w:val="continue"/>
            <w:vAlign w:val="center"/>
          </w:tcPr>
          <w:p>
            <w:pPr>
              <w:jc w:val="center"/>
              <w:rPr>
                <w:rFonts w:ascii="Times New Roman" w:hAnsi="Times New Roman" w:eastAsia="宋体" w:cs="Times New Roman"/>
                <w:szCs w:val="21"/>
              </w:rPr>
            </w:pPr>
          </w:p>
        </w:tc>
        <w:tc>
          <w:tcPr>
            <w:tcW w:w="810" w:type="dxa"/>
            <w:vMerge w:val="continue"/>
            <w:vAlign w:val="center"/>
          </w:tcPr>
          <w:p>
            <w:pPr>
              <w:jc w:val="center"/>
              <w:rPr>
                <w:rFonts w:ascii="Times New Roman" w:hAnsi="Times New Roman" w:eastAsia="宋体" w:cs="Times New Roman"/>
                <w:szCs w:val="21"/>
              </w:rPr>
            </w:pPr>
          </w:p>
        </w:tc>
        <w:tc>
          <w:tcPr>
            <w:tcW w:w="706" w:type="dxa"/>
            <w:vMerge w:val="continue"/>
            <w:vAlign w:val="center"/>
          </w:tcPr>
          <w:p>
            <w:pPr>
              <w:jc w:val="center"/>
              <w:rPr>
                <w:rFonts w:ascii="Times New Roman" w:hAnsi="Times New Roman" w:eastAsia="宋体" w:cs="Times New Roman"/>
                <w:szCs w:val="21"/>
              </w:rPr>
            </w:pPr>
          </w:p>
        </w:tc>
        <w:tc>
          <w:tcPr>
            <w:tcW w:w="684" w:type="dxa"/>
            <w:vMerge w:val="continue"/>
            <w:vAlign w:val="center"/>
          </w:tcPr>
          <w:p>
            <w:pPr>
              <w:jc w:val="center"/>
              <w:rPr>
                <w:rFonts w:ascii="Times New Roman" w:hAnsi="Times New Roman" w:eastAsia="宋体" w:cs="Times New Roman"/>
                <w:szCs w:val="21"/>
              </w:rPr>
            </w:pPr>
          </w:p>
        </w:tc>
        <w:tc>
          <w:tcPr>
            <w:tcW w:w="537" w:type="dxa"/>
            <w:vMerge w:val="continue"/>
            <w:vAlign w:val="center"/>
          </w:tcPr>
          <w:p>
            <w:pPr>
              <w:jc w:val="center"/>
              <w:rPr>
                <w:rFonts w:ascii="Times New Roman" w:hAnsi="Times New Roman" w:eastAsia="宋体" w:cs="Times New Roman"/>
                <w:szCs w:val="21"/>
              </w:rPr>
            </w:pPr>
          </w:p>
        </w:tc>
        <w:tc>
          <w:tcPr>
            <w:tcW w:w="585" w:type="dxa"/>
            <w:vMerge w:val="continue"/>
            <w:vAlign w:val="center"/>
          </w:tcPr>
          <w:p>
            <w:pPr>
              <w:jc w:val="center"/>
              <w:rPr>
                <w:rFonts w:ascii="Times New Roman" w:hAnsi="Times New Roman" w:eastAsia="宋体" w:cs="Times New Roman"/>
                <w:szCs w:val="21"/>
              </w:rPr>
            </w:pPr>
          </w:p>
        </w:tc>
        <w:tc>
          <w:tcPr>
            <w:tcW w:w="795" w:type="dxa"/>
            <w:vMerge w:val="continue"/>
            <w:vAlign w:val="center"/>
          </w:tcPr>
          <w:p>
            <w:pPr>
              <w:jc w:val="center"/>
              <w:rPr>
                <w:rFonts w:ascii="Times New Roman" w:hAnsi="Times New Roman" w:eastAsia="宋体" w:cs="Times New Roman"/>
                <w:szCs w:val="21"/>
              </w:rPr>
            </w:pPr>
          </w:p>
        </w:tc>
        <w:tc>
          <w:tcPr>
            <w:tcW w:w="675" w:type="dxa"/>
            <w:vMerge w:val="continue"/>
            <w:vAlign w:val="center"/>
          </w:tcPr>
          <w:p>
            <w:pPr>
              <w:jc w:val="center"/>
              <w:rPr>
                <w:rFonts w:ascii="Times New Roman" w:hAnsi="Times New Roman" w:eastAsia="宋体" w:cs="Times New Roman"/>
                <w:szCs w:val="21"/>
              </w:rPr>
            </w:pPr>
          </w:p>
        </w:tc>
        <w:tc>
          <w:tcPr>
            <w:tcW w:w="731" w:type="dxa"/>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沥青烟</w:t>
            </w:r>
          </w:p>
        </w:tc>
        <w:tc>
          <w:tcPr>
            <w:tcW w:w="649"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0.0938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8" w:hRule="atLeast"/>
          <w:jc w:val="center"/>
        </w:trPr>
        <w:tc>
          <w:tcPr>
            <w:tcW w:w="667" w:type="dxa"/>
            <w:vMerge w:val="continue"/>
            <w:vAlign w:val="center"/>
          </w:tcPr>
          <w:p>
            <w:pPr>
              <w:jc w:val="center"/>
              <w:rPr>
                <w:rFonts w:ascii="Times New Roman" w:hAnsi="Times New Roman" w:eastAsia="宋体" w:cs="Times New Roman"/>
                <w:szCs w:val="21"/>
              </w:rPr>
            </w:pPr>
          </w:p>
        </w:tc>
        <w:tc>
          <w:tcPr>
            <w:tcW w:w="807" w:type="dxa"/>
            <w:vMerge w:val="continue"/>
            <w:vAlign w:val="center"/>
          </w:tcPr>
          <w:p>
            <w:pPr>
              <w:jc w:val="center"/>
              <w:rPr>
                <w:rFonts w:ascii="Times New Roman" w:hAnsi="Times New Roman" w:eastAsia="宋体" w:cs="Times New Roman"/>
                <w:szCs w:val="21"/>
              </w:rPr>
            </w:pPr>
          </w:p>
        </w:tc>
        <w:tc>
          <w:tcPr>
            <w:tcW w:w="716" w:type="dxa"/>
            <w:vMerge w:val="continue"/>
            <w:vAlign w:val="center"/>
          </w:tcPr>
          <w:p>
            <w:pPr>
              <w:jc w:val="center"/>
              <w:rPr>
                <w:rFonts w:ascii="Times New Roman" w:hAnsi="Times New Roman" w:eastAsia="宋体" w:cs="Times New Roman"/>
                <w:szCs w:val="21"/>
              </w:rPr>
            </w:pPr>
          </w:p>
        </w:tc>
        <w:tc>
          <w:tcPr>
            <w:tcW w:w="810" w:type="dxa"/>
            <w:vMerge w:val="continue"/>
            <w:vAlign w:val="center"/>
          </w:tcPr>
          <w:p>
            <w:pPr>
              <w:jc w:val="center"/>
              <w:rPr>
                <w:rFonts w:ascii="Times New Roman" w:hAnsi="Times New Roman" w:eastAsia="宋体" w:cs="Times New Roman"/>
                <w:szCs w:val="21"/>
              </w:rPr>
            </w:pPr>
          </w:p>
        </w:tc>
        <w:tc>
          <w:tcPr>
            <w:tcW w:w="706" w:type="dxa"/>
            <w:vMerge w:val="continue"/>
            <w:vAlign w:val="center"/>
          </w:tcPr>
          <w:p>
            <w:pPr>
              <w:jc w:val="center"/>
              <w:rPr>
                <w:rFonts w:ascii="Times New Roman" w:hAnsi="Times New Roman" w:eastAsia="宋体" w:cs="Times New Roman"/>
                <w:szCs w:val="21"/>
              </w:rPr>
            </w:pPr>
          </w:p>
        </w:tc>
        <w:tc>
          <w:tcPr>
            <w:tcW w:w="684" w:type="dxa"/>
            <w:vMerge w:val="continue"/>
            <w:vAlign w:val="center"/>
          </w:tcPr>
          <w:p>
            <w:pPr>
              <w:jc w:val="center"/>
              <w:rPr>
                <w:rFonts w:ascii="Times New Roman" w:hAnsi="Times New Roman" w:eastAsia="宋体" w:cs="Times New Roman"/>
                <w:szCs w:val="21"/>
              </w:rPr>
            </w:pPr>
          </w:p>
        </w:tc>
        <w:tc>
          <w:tcPr>
            <w:tcW w:w="537" w:type="dxa"/>
            <w:vMerge w:val="continue"/>
            <w:vAlign w:val="center"/>
          </w:tcPr>
          <w:p>
            <w:pPr>
              <w:jc w:val="center"/>
              <w:rPr>
                <w:rFonts w:ascii="Times New Roman" w:hAnsi="Times New Roman" w:eastAsia="宋体" w:cs="Times New Roman"/>
                <w:szCs w:val="21"/>
              </w:rPr>
            </w:pPr>
          </w:p>
        </w:tc>
        <w:tc>
          <w:tcPr>
            <w:tcW w:w="585" w:type="dxa"/>
            <w:vMerge w:val="continue"/>
            <w:vAlign w:val="center"/>
          </w:tcPr>
          <w:p>
            <w:pPr>
              <w:jc w:val="center"/>
              <w:rPr>
                <w:rFonts w:ascii="Times New Roman" w:hAnsi="Times New Roman" w:eastAsia="宋体" w:cs="Times New Roman"/>
                <w:szCs w:val="21"/>
              </w:rPr>
            </w:pPr>
          </w:p>
        </w:tc>
        <w:tc>
          <w:tcPr>
            <w:tcW w:w="795" w:type="dxa"/>
            <w:vMerge w:val="continue"/>
            <w:vAlign w:val="center"/>
          </w:tcPr>
          <w:p>
            <w:pPr>
              <w:jc w:val="center"/>
              <w:rPr>
                <w:rFonts w:ascii="Times New Roman" w:hAnsi="Times New Roman" w:eastAsia="宋体" w:cs="Times New Roman"/>
                <w:szCs w:val="21"/>
              </w:rPr>
            </w:pPr>
          </w:p>
        </w:tc>
        <w:tc>
          <w:tcPr>
            <w:tcW w:w="675" w:type="dxa"/>
            <w:vMerge w:val="continue"/>
            <w:vAlign w:val="center"/>
          </w:tcPr>
          <w:p>
            <w:pPr>
              <w:jc w:val="center"/>
              <w:rPr>
                <w:rFonts w:ascii="Times New Roman" w:hAnsi="Times New Roman" w:eastAsia="宋体" w:cs="Times New Roman"/>
                <w:szCs w:val="21"/>
              </w:rPr>
            </w:pPr>
          </w:p>
        </w:tc>
        <w:tc>
          <w:tcPr>
            <w:tcW w:w="731" w:type="dxa"/>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苯并芘</w:t>
            </w:r>
          </w:p>
        </w:tc>
        <w:tc>
          <w:tcPr>
            <w:tcW w:w="649"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0.0000042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28" w:hRule="atLeast"/>
          <w:jc w:val="center"/>
        </w:trPr>
        <w:tc>
          <w:tcPr>
            <w:tcW w:w="667" w:type="dxa"/>
            <w:vMerge w:val="continue"/>
            <w:vAlign w:val="center"/>
          </w:tcPr>
          <w:p>
            <w:pPr>
              <w:jc w:val="center"/>
              <w:rPr>
                <w:rFonts w:ascii="Times New Roman" w:hAnsi="Times New Roman" w:eastAsia="宋体" w:cs="Times New Roman"/>
                <w:szCs w:val="21"/>
              </w:rPr>
            </w:pPr>
          </w:p>
        </w:tc>
        <w:tc>
          <w:tcPr>
            <w:tcW w:w="807" w:type="dxa"/>
            <w:vMerge w:val="continue"/>
            <w:vAlign w:val="center"/>
          </w:tcPr>
          <w:p>
            <w:pPr>
              <w:jc w:val="center"/>
              <w:rPr>
                <w:rFonts w:ascii="Times New Roman" w:hAnsi="Times New Roman" w:eastAsia="宋体" w:cs="Times New Roman"/>
                <w:szCs w:val="21"/>
              </w:rPr>
            </w:pPr>
          </w:p>
        </w:tc>
        <w:tc>
          <w:tcPr>
            <w:tcW w:w="716" w:type="dxa"/>
            <w:vMerge w:val="continue"/>
            <w:vAlign w:val="center"/>
          </w:tcPr>
          <w:p>
            <w:pPr>
              <w:jc w:val="center"/>
              <w:rPr>
                <w:rFonts w:ascii="Times New Roman" w:hAnsi="Times New Roman" w:eastAsia="宋体" w:cs="Times New Roman"/>
                <w:szCs w:val="21"/>
              </w:rPr>
            </w:pPr>
          </w:p>
        </w:tc>
        <w:tc>
          <w:tcPr>
            <w:tcW w:w="810" w:type="dxa"/>
            <w:vMerge w:val="continue"/>
            <w:vAlign w:val="center"/>
          </w:tcPr>
          <w:p>
            <w:pPr>
              <w:jc w:val="center"/>
              <w:rPr>
                <w:rFonts w:ascii="Times New Roman" w:hAnsi="Times New Roman" w:eastAsia="宋体" w:cs="Times New Roman"/>
                <w:szCs w:val="21"/>
              </w:rPr>
            </w:pPr>
          </w:p>
        </w:tc>
        <w:tc>
          <w:tcPr>
            <w:tcW w:w="706" w:type="dxa"/>
            <w:vMerge w:val="continue"/>
            <w:vAlign w:val="center"/>
          </w:tcPr>
          <w:p>
            <w:pPr>
              <w:jc w:val="center"/>
              <w:rPr>
                <w:rFonts w:ascii="Times New Roman" w:hAnsi="Times New Roman" w:eastAsia="宋体" w:cs="Times New Roman"/>
                <w:szCs w:val="21"/>
              </w:rPr>
            </w:pPr>
          </w:p>
        </w:tc>
        <w:tc>
          <w:tcPr>
            <w:tcW w:w="684" w:type="dxa"/>
            <w:vMerge w:val="continue"/>
            <w:vAlign w:val="center"/>
          </w:tcPr>
          <w:p>
            <w:pPr>
              <w:jc w:val="center"/>
              <w:rPr>
                <w:rFonts w:ascii="Times New Roman" w:hAnsi="Times New Roman" w:eastAsia="宋体" w:cs="Times New Roman"/>
                <w:szCs w:val="21"/>
              </w:rPr>
            </w:pPr>
          </w:p>
        </w:tc>
        <w:tc>
          <w:tcPr>
            <w:tcW w:w="537" w:type="dxa"/>
            <w:vMerge w:val="continue"/>
            <w:vAlign w:val="center"/>
          </w:tcPr>
          <w:p>
            <w:pPr>
              <w:jc w:val="center"/>
              <w:rPr>
                <w:rFonts w:ascii="Times New Roman" w:hAnsi="Times New Roman" w:eastAsia="宋体" w:cs="Times New Roman"/>
                <w:szCs w:val="21"/>
              </w:rPr>
            </w:pPr>
          </w:p>
        </w:tc>
        <w:tc>
          <w:tcPr>
            <w:tcW w:w="585" w:type="dxa"/>
            <w:vMerge w:val="continue"/>
            <w:vAlign w:val="center"/>
          </w:tcPr>
          <w:p>
            <w:pPr>
              <w:jc w:val="center"/>
              <w:rPr>
                <w:rFonts w:ascii="Times New Roman" w:hAnsi="Times New Roman" w:eastAsia="宋体" w:cs="Times New Roman"/>
                <w:szCs w:val="21"/>
              </w:rPr>
            </w:pPr>
          </w:p>
        </w:tc>
        <w:tc>
          <w:tcPr>
            <w:tcW w:w="795" w:type="dxa"/>
            <w:vMerge w:val="continue"/>
            <w:vAlign w:val="center"/>
          </w:tcPr>
          <w:p>
            <w:pPr>
              <w:jc w:val="center"/>
              <w:rPr>
                <w:rFonts w:ascii="Times New Roman" w:hAnsi="Times New Roman" w:eastAsia="宋体" w:cs="Times New Roman"/>
                <w:szCs w:val="21"/>
              </w:rPr>
            </w:pPr>
          </w:p>
        </w:tc>
        <w:tc>
          <w:tcPr>
            <w:tcW w:w="675" w:type="dxa"/>
            <w:vMerge w:val="continue"/>
            <w:vAlign w:val="center"/>
          </w:tcPr>
          <w:p>
            <w:pPr>
              <w:jc w:val="center"/>
              <w:rPr>
                <w:rFonts w:ascii="Times New Roman" w:hAnsi="Times New Roman" w:eastAsia="宋体" w:cs="Times New Roman"/>
                <w:szCs w:val="21"/>
              </w:rPr>
            </w:pPr>
          </w:p>
        </w:tc>
        <w:tc>
          <w:tcPr>
            <w:tcW w:w="731" w:type="dxa"/>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非甲烷总烃</w:t>
            </w:r>
          </w:p>
        </w:tc>
        <w:tc>
          <w:tcPr>
            <w:tcW w:w="649" w:type="dxa"/>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color w:val="000000"/>
                <w:kern w:val="0"/>
                <w:szCs w:val="21"/>
                <w:lang w:bidi="ar"/>
              </w:rPr>
              <w:t>0.06563</w:t>
            </w:r>
          </w:p>
        </w:tc>
      </w:tr>
      <w:bookmarkEnd w:id="17"/>
    </w:tbl>
    <w:p>
      <w:pPr>
        <w:spacing w:line="500" w:lineRule="exact"/>
        <w:ind w:firstLine="560" w:firstLineChars="200"/>
        <w:rPr>
          <w:rFonts w:ascii="Times New Roman" w:hAnsi="Times New Roman" w:eastAsia="宋体" w:cs="Times New Roman"/>
          <w:sz w:val="28"/>
          <w:szCs w:val="28"/>
        </w:rPr>
      </w:pPr>
      <w:r>
        <w:rPr>
          <w:rFonts w:ascii="Times New Roman" w:hAnsi="Times New Roman" w:eastAsia="宋体" w:cs="Times New Roman"/>
          <w:sz w:val="28"/>
          <w:szCs w:val="28"/>
        </w:rPr>
        <w:t>利用估算模式计算的结果见表3.1-</w:t>
      </w:r>
      <w:r>
        <w:rPr>
          <w:rFonts w:hint="eastAsia" w:ascii="Times New Roman" w:hAnsi="Times New Roman" w:eastAsia="宋体" w:cs="Times New Roman"/>
          <w:sz w:val="28"/>
          <w:szCs w:val="28"/>
        </w:rPr>
        <w:t>11</w:t>
      </w:r>
      <w:r>
        <w:rPr>
          <w:rFonts w:ascii="Times New Roman" w:hAnsi="Times New Roman" w:eastAsia="宋体" w:cs="Times New Roman"/>
          <w:sz w:val="28"/>
          <w:szCs w:val="28"/>
        </w:rPr>
        <w:t>。</w:t>
      </w:r>
    </w:p>
    <w:p>
      <w:pPr>
        <w:spacing w:line="500" w:lineRule="exact"/>
        <w:ind w:firstLine="562" w:firstLineChars="200"/>
        <w:jc w:val="center"/>
        <w:rPr>
          <w:rFonts w:ascii="Times New Roman" w:hAnsi="Times New Roman" w:eastAsia="宋体" w:cs="Times New Roman"/>
          <w:b/>
          <w:bCs/>
        </w:rPr>
      </w:pPr>
      <w:r>
        <w:rPr>
          <w:rFonts w:ascii="Times New Roman" w:hAnsi="Times New Roman" w:eastAsia="宋体" w:cs="Times New Roman"/>
          <w:b/>
          <w:bCs/>
          <w:sz w:val="28"/>
          <w:szCs w:val="28"/>
        </w:rPr>
        <w:t>表3.1-</w:t>
      </w:r>
      <w:r>
        <w:rPr>
          <w:rFonts w:hint="eastAsia" w:ascii="Times New Roman" w:hAnsi="Times New Roman" w:eastAsia="宋体" w:cs="Times New Roman"/>
          <w:b/>
          <w:bCs/>
          <w:sz w:val="28"/>
          <w:szCs w:val="28"/>
        </w:rPr>
        <w:t>11</w:t>
      </w:r>
      <w:r>
        <w:rPr>
          <w:rFonts w:ascii="Times New Roman" w:hAnsi="Times New Roman" w:eastAsia="宋体" w:cs="Times New Roman"/>
          <w:b/>
          <w:bCs/>
          <w:sz w:val="28"/>
          <w:szCs w:val="28"/>
        </w:rPr>
        <w:t xml:space="preserve"> 估算模式计算结果表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1183"/>
        <w:gridCol w:w="1647"/>
        <w:gridCol w:w="2015"/>
        <w:gridCol w:w="1696"/>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648"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污染源编号</w:t>
            </w:r>
          </w:p>
        </w:tc>
        <w:tc>
          <w:tcPr>
            <w:tcW w:w="694"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污染源</w:t>
            </w:r>
          </w:p>
          <w:p>
            <w:pPr>
              <w:jc w:val="center"/>
              <w:rPr>
                <w:rFonts w:ascii="Times New Roman" w:hAnsi="Times New Roman" w:eastAsia="宋体" w:cs="Times New Roman"/>
                <w:szCs w:val="21"/>
              </w:rPr>
            </w:pPr>
            <w:r>
              <w:rPr>
                <w:rFonts w:ascii="Times New Roman" w:hAnsi="Times New Roman" w:eastAsia="宋体" w:cs="Times New Roman"/>
                <w:szCs w:val="21"/>
              </w:rPr>
              <w:t>类型</w:t>
            </w:r>
          </w:p>
        </w:tc>
        <w:tc>
          <w:tcPr>
            <w:tcW w:w="966"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评价因子</w:t>
            </w:r>
          </w:p>
        </w:tc>
        <w:tc>
          <w:tcPr>
            <w:tcW w:w="2177"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出现最大浓度占标率</w:t>
            </w:r>
          </w:p>
        </w:tc>
        <w:tc>
          <w:tcPr>
            <w:tcW w:w="513" w:type="pct"/>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69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966"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182"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szCs w:val="21"/>
                <w:vertAlign w:val="subscript"/>
              </w:rPr>
            </w:pPr>
            <w:r>
              <w:rPr>
                <w:rFonts w:ascii="Times New Roman" w:hAnsi="Times New Roman" w:eastAsia="宋体" w:cs="Times New Roman"/>
                <w:szCs w:val="21"/>
              </w:rPr>
              <w:t>预测质量浓度Cij（ug/m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tc>
        <w:tc>
          <w:tcPr>
            <w:tcW w:w="995"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占标率Pij（%）</w:t>
            </w:r>
          </w:p>
        </w:tc>
        <w:tc>
          <w:tcPr>
            <w:tcW w:w="513" w:type="pct"/>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DA002</w:t>
            </w:r>
          </w:p>
        </w:tc>
        <w:tc>
          <w:tcPr>
            <w:tcW w:w="694" w:type="pct"/>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点源</w:t>
            </w:r>
          </w:p>
        </w:tc>
        <w:tc>
          <w:tcPr>
            <w:tcW w:w="1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烟（粉）尘</w:t>
            </w:r>
          </w:p>
        </w:tc>
        <w:tc>
          <w:tcPr>
            <w:tcW w:w="20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7.10 </w:t>
            </w:r>
          </w:p>
        </w:tc>
        <w:tc>
          <w:tcPr>
            <w:tcW w:w="169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1.58 </w:t>
            </w:r>
          </w:p>
        </w:tc>
        <w:tc>
          <w:tcPr>
            <w:tcW w:w="51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648"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694"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1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pacing w:val="-4"/>
                <w:szCs w:val="21"/>
              </w:rPr>
            </w:pPr>
            <w:r>
              <w:rPr>
                <w:rFonts w:ascii="Times New Roman" w:hAnsi="Times New Roman" w:eastAsia="宋体" w:cs="Times New Roman"/>
                <w:kern w:val="0"/>
                <w:szCs w:val="21"/>
              </w:rPr>
              <w:t>SO</w:t>
            </w:r>
            <w:r>
              <w:rPr>
                <w:rFonts w:ascii="Times New Roman" w:hAnsi="Times New Roman" w:eastAsia="宋体" w:cs="Times New Roman"/>
                <w:kern w:val="0"/>
                <w:szCs w:val="21"/>
                <w:vertAlign w:val="subscript"/>
              </w:rPr>
              <w:t>2</w:t>
            </w:r>
          </w:p>
        </w:tc>
        <w:tc>
          <w:tcPr>
            <w:tcW w:w="20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0.05 </w:t>
            </w:r>
          </w:p>
        </w:tc>
        <w:tc>
          <w:tcPr>
            <w:tcW w:w="169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0.01 </w:t>
            </w:r>
          </w:p>
        </w:tc>
        <w:tc>
          <w:tcPr>
            <w:tcW w:w="51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694"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1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pacing w:val="-4"/>
                <w:szCs w:val="21"/>
              </w:rPr>
            </w:pPr>
            <w:r>
              <w:rPr>
                <w:rFonts w:ascii="Times New Roman" w:hAnsi="Times New Roman" w:eastAsia="宋体" w:cs="Times New Roman"/>
                <w:kern w:val="0"/>
                <w:szCs w:val="21"/>
              </w:rPr>
              <w:t>NOx</w:t>
            </w:r>
          </w:p>
        </w:tc>
        <w:tc>
          <w:tcPr>
            <w:tcW w:w="20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0.12 </w:t>
            </w:r>
          </w:p>
        </w:tc>
        <w:tc>
          <w:tcPr>
            <w:tcW w:w="169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0.05 </w:t>
            </w:r>
          </w:p>
        </w:tc>
        <w:tc>
          <w:tcPr>
            <w:tcW w:w="51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694"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1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pacing w:val="-4"/>
                <w:szCs w:val="21"/>
              </w:rPr>
            </w:pPr>
            <w:r>
              <w:rPr>
                <w:rFonts w:ascii="Times New Roman" w:hAnsi="Times New Roman" w:eastAsia="宋体" w:cs="Times New Roman"/>
                <w:kern w:val="0"/>
                <w:szCs w:val="21"/>
              </w:rPr>
              <w:t>沥青烟</w:t>
            </w:r>
          </w:p>
        </w:tc>
        <w:tc>
          <w:tcPr>
            <w:tcW w:w="20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0.28</w:t>
            </w:r>
          </w:p>
        </w:tc>
        <w:tc>
          <w:tcPr>
            <w:tcW w:w="169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0.44</w:t>
            </w:r>
          </w:p>
        </w:tc>
        <w:tc>
          <w:tcPr>
            <w:tcW w:w="51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694"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1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pacing w:val="-4"/>
                <w:szCs w:val="21"/>
              </w:rPr>
            </w:pPr>
            <w:r>
              <w:rPr>
                <w:rFonts w:ascii="Times New Roman" w:hAnsi="Times New Roman" w:eastAsia="宋体" w:cs="Times New Roman"/>
                <w:kern w:val="0"/>
                <w:szCs w:val="21"/>
              </w:rPr>
              <w:t>苯并芘</w:t>
            </w:r>
          </w:p>
        </w:tc>
        <w:tc>
          <w:tcPr>
            <w:tcW w:w="20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0.000014</w:t>
            </w:r>
          </w:p>
        </w:tc>
        <w:tc>
          <w:tcPr>
            <w:tcW w:w="169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0.18</w:t>
            </w:r>
          </w:p>
        </w:tc>
        <w:tc>
          <w:tcPr>
            <w:tcW w:w="51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694" w:type="pct"/>
            <w:vMerge w:val="continue"/>
            <w:tcBorders>
              <w:left w:val="single" w:color="auto" w:sz="4" w:space="0"/>
              <w:right w:val="single" w:color="auto" w:sz="4" w:space="0"/>
            </w:tcBorders>
            <w:vAlign w:val="center"/>
          </w:tcPr>
          <w:p>
            <w:pPr>
              <w:jc w:val="center"/>
              <w:rPr>
                <w:rFonts w:ascii="Times New Roman" w:hAnsi="Times New Roman" w:eastAsia="宋体" w:cs="Times New Roman"/>
                <w:szCs w:val="21"/>
              </w:rPr>
            </w:pPr>
          </w:p>
        </w:tc>
        <w:tc>
          <w:tcPr>
            <w:tcW w:w="1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spacing w:val="-4"/>
                <w:szCs w:val="21"/>
              </w:rPr>
            </w:pPr>
            <w:r>
              <w:rPr>
                <w:rFonts w:ascii="Times New Roman" w:hAnsi="Times New Roman" w:eastAsia="宋体" w:cs="Times New Roman"/>
                <w:kern w:val="0"/>
                <w:szCs w:val="21"/>
              </w:rPr>
              <w:t>非甲烷总烃</w:t>
            </w:r>
          </w:p>
        </w:tc>
        <w:tc>
          <w:tcPr>
            <w:tcW w:w="20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0.19</w:t>
            </w:r>
          </w:p>
        </w:tc>
        <w:tc>
          <w:tcPr>
            <w:tcW w:w="169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0.01</w:t>
            </w:r>
          </w:p>
        </w:tc>
        <w:tc>
          <w:tcPr>
            <w:tcW w:w="513" w:type="pct"/>
            <w:tcBorders>
              <w:top w:val="single" w:color="auto" w:sz="4" w:space="0"/>
              <w:left w:val="single" w:color="auto" w:sz="4" w:space="0"/>
              <w:right w:val="single" w:color="auto" w:sz="4" w:space="0"/>
            </w:tcBorders>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二级</w:t>
            </w:r>
          </w:p>
        </w:tc>
      </w:tr>
    </w:tbl>
    <w:p>
      <w:pPr>
        <w:pageBreakBefore w:val="0"/>
        <w:kinsoku/>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根据表3.1-8估算结果，本项目变动涉及排气筒的污染物评价因子最大占标率为1.58%，因此本项目变动涉及排气筒的环境空气影响评价工作等级定为</w:t>
      </w:r>
      <w:r>
        <w:rPr>
          <w:rFonts w:ascii="Times New Roman" w:hAnsi="Times New Roman" w:eastAsia="宋体" w:cs="Times New Roman"/>
          <w:b/>
          <w:sz w:val="28"/>
          <w:szCs w:val="28"/>
        </w:rPr>
        <w:t>二级</w:t>
      </w:r>
      <w:r>
        <w:rPr>
          <w:rFonts w:ascii="Times New Roman" w:hAnsi="Times New Roman" w:eastAsia="宋体" w:cs="Times New Roman"/>
          <w:sz w:val="28"/>
          <w:szCs w:val="28"/>
        </w:rPr>
        <w:t>。从以上数据，可以看出有组织废气对厂址附近局部区域的空气环境质量影响较小。</w:t>
      </w:r>
    </w:p>
    <w:p>
      <w:pPr>
        <w:pageBreakBefore w:val="0"/>
        <w:kinsoku/>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企业目前排放的废气主要是导热油炉产生的颗粒物、二氧化硫、氮氧化物；配料、干燥产生的颗粒物、二氧化硫、氮氧化物、沥青烟、苯并芘和非甲烷总烃；搅拌产生的沥青烟、苯并芘和非甲烷总烃；沥青罐产生的沥青烟、苯并芘和非甲烷总烃；堆场产生的颗粒物。</w:t>
      </w:r>
    </w:p>
    <w:p>
      <w:pPr>
        <w:pageBreakBefore w:val="0"/>
        <w:kinsoku/>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项目导热油炉产生的颗粒物、二氧化硫、氮氧化物满足《锅炉大气污染物排放标准》（DB32/4385—2022）表1中燃气锅炉标准限值经排气筒（DA001）高空排放；配料、干燥产生的颗粒物、二氧化硫、氮氧化物经布袋除尘装置处理浓度满足《工业炉窑大气污染物排放标准》（DB32/3728-2020）经排气筒（DA002）高空排放；配料、干燥产生的沥青烟、苯并芘和非甲烷总烃经布袋除尘装置处理浓度满足《大气污染物综合排放标准》（DB32/4041-2021）后经排气筒（DA002）高空排放；搅拌产生的沥青烟、苯并芘和非甲烷总烃满足《大气污染物综合排放标准》（DB32/4041-2021）后经排气筒（DA002）高空排放。厂界无组织沥青烟、苯并芘和非甲烷总烃满足《大气污染物综合排放标准》（DB32/4041-2021）后排放。</w:t>
      </w:r>
    </w:p>
    <w:p>
      <w:pPr>
        <w:pageBreakBefore w:val="0"/>
        <w:kinsoku/>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32"/>
        </w:rPr>
      </w:pPr>
      <w:r>
        <w:rPr>
          <w:rFonts w:hint="eastAsia" w:ascii="Times New Roman" w:hAnsi="Times New Roman" w:eastAsia="宋体" w:cs="Times New Roman"/>
          <w:sz w:val="28"/>
          <w:szCs w:val="32"/>
        </w:rPr>
        <w:t>变动</w:t>
      </w:r>
      <w:r>
        <w:rPr>
          <w:rFonts w:ascii="Times New Roman" w:hAnsi="Times New Roman" w:eastAsia="宋体" w:cs="Times New Roman"/>
          <w:sz w:val="28"/>
          <w:szCs w:val="32"/>
        </w:rPr>
        <w:t>后</w:t>
      </w:r>
      <w:r>
        <w:rPr>
          <w:rFonts w:hint="eastAsia" w:ascii="Times New Roman" w:hAnsi="Times New Roman" w:eastAsia="宋体" w:cs="Times New Roman"/>
          <w:sz w:val="28"/>
          <w:szCs w:val="32"/>
        </w:rPr>
        <w:t>使用旧沥青混合料的情况下：</w:t>
      </w:r>
      <w:r>
        <w:rPr>
          <w:rFonts w:ascii="Times New Roman" w:hAnsi="Times New Roman" w:eastAsia="宋体" w:cs="Times New Roman"/>
          <w:sz w:val="28"/>
          <w:szCs w:val="32"/>
        </w:rPr>
        <w:t>企业</w:t>
      </w:r>
      <w:r>
        <w:rPr>
          <w:rFonts w:ascii="Times New Roman" w:hAnsi="Times New Roman" w:eastAsia="宋体" w:cs="Times New Roman"/>
          <w:sz w:val="28"/>
          <w:szCs w:val="28"/>
        </w:rPr>
        <w:t>DA002排气筒颗粒物、二氧化硫、氮氧化物、沥青烟、苯并芘和非甲烷总烃废气增加</w:t>
      </w:r>
      <w:r>
        <w:rPr>
          <w:rFonts w:ascii="Times New Roman" w:hAnsi="Times New Roman" w:eastAsia="宋体" w:cs="Times New Roman"/>
          <w:sz w:val="28"/>
          <w:szCs w:val="32"/>
        </w:rPr>
        <w:t>，DA001和DA003排气筒</w:t>
      </w:r>
      <w:r>
        <w:rPr>
          <w:rFonts w:ascii="Times New Roman" w:hAnsi="Times New Roman" w:eastAsia="宋体" w:cs="Times New Roman"/>
          <w:sz w:val="28"/>
          <w:szCs w:val="28"/>
        </w:rPr>
        <w:t>颗粒物、二氧化硫、氮氧化物、沥青烟、苯并芘和非甲烷总烃废气</w:t>
      </w:r>
      <w:r>
        <w:rPr>
          <w:rFonts w:ascii="Times New Roman" w:hAnsi="Times New Roman" w:eastAsia="宋体" w:cs="Times New Roman"/>
          <w:sz w:val="28"/>
          <w:szCs w:val="32"/>
        </w:rPr>
        <w:t>减少，经计算变动后故企业全厂废气总量减少。</w:t>
      </w:r>
    </w:p>
    <w:p>
      <w:pPr>
        <w:pageBreakBefore w:val="0"/>
        <w:kinsoku/>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32"/>
        </w:rPr>
      </w:pPr>
      <w:r>
        <w:rPr>
          <w:rFonts w:hint="eastAsia" w:ascii="Times New Roman" w:hAnsi="Times New Roman" w:eastAsia="宋体" w:cs="Times New Roman"/>
          <w:sz w:val="28"/>
          <w:szCs w:val="32"/>
        </w:rPr>
        <w:t>变动</w:t>
      </w:r>
      <w:r>
        <w:rPr>
          <w:rFonts w:ascii="Times New Roman" w:hAnsi="Times New Roman" w:eastAsia="宋体" w:cs="Times New Roman"/>
          <w:sz w:val="28"/>
          <w:szCs w:val="32"/>
        </w:rPr>
        <w:t>后</w:t>
      </w:r>
      <w:r>
        <w:rPr>
          <w:rFonts w:hint="eastAsia" w:ascii="Times New Roman" w:hAnsi="Times New Roman" w:eastAsia="宋体" w:cs="Times New Roman"/>
          <w:sz w:val="28"/>
          <w:szCs w:val="32"/>
        </w:rPr>
        <w:t>不使用旧沥青混合料的情况下：</w:t>
      </w:r>
      <w:r>
        <w:rPr>
          <w:rFonts w:ascii="Times New Roman" w:hAnsi="Times New Roman" w:eastAsia="宋体" w:cs="Times New Roman"/>
          <w:sz w:val="28"/>
          <w:szCs w:val="32"/>
        </w:rPr>
        <w:t>企业</w:t>
      </w:r>
      <w:r>
        <w:rPr>
          <w:rFonts w:ascii="Times New Roman" w:hAnsi="Times New Roman" w:eastAsia="宋体" w:cs="Times New Roman"/>
          <w:sz w:val="28"/>
          <w:szCs w:val="28"/>
        </w:rPr>
        <w:t>DA002排气筒颗粒物、二氧化硫、氮氧化物、沥青烟、苯并芘和非甲烷总烃废气增加</w:t>
      </w:r>
      <w:r>
        <w:rPr>
          <w:rFonts w:ascii="Times New Roman" w:hAnsi="Times New Roman" w:eastAsia="宋体" w:cs="Times New Roman"/>
          <w:sz w:val="28"/>
          <w:szCs w:val="32"/>
        </w:rPr>
        <w:t>，DA001和DA003排气筒</w:t>
      </w:r>
      <w:r>
        <w:rPr>
          <w:rFonts w:ascii="Times New Roman" w:hAnsi="Times New Roman" w:eastAsia="宋体" w:cs="Times New Roman"/>
          <w:sz w:val="28"/>
          <w:szCs w:val="28"/>
        </w:rPr>
        <w:t>颗粒物、二氧化硫、氮氧化物、沥青烟、苯并芘和非甲烷总烃废气</w:t>
      </w:r>
      <w:r>
        <w:rPr>
          <w:rFonts w:ascii="Times New Roman" w:hAnsi="Times New Roman" w:eastAsia="宋体" w:cs="Times New Roman"/>
          <w:sz w:val="28"/>
          <w:szCs w:val="32"/>
        </w:rPr>
        <w:t>减少，经计算变动后故企业全厂废气总量减少。</w:t>
      </w:r>
    </w:p>
    <w:p>
      <w:pPr>
        <w:pageBreakBefore w:val="0"/>
        <w:tabs>
          <w:tab w:val="left" w:pos="3969"/>
        </w:tabs>
        <w:kinsoku/>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变动后大气污染物排放总量（有组织）为： SO</w:t>
      </w:r>
      <w:r>
        <w:rPr>
          <w:rFonts w:ascii="Times New Roman" w:hAnsi="Times New Roman" w:eastAsia="宋体" w:cs="Times New Roman"/>
          <w:sz w:val="28"/>
          <w:szCs w:val="28"/>
          <w:vertAlign w:val="subscript"/>
        </w:rPr>
        <w:t xml:space="preserve">2 </w:t>
      </w:r>
      <w:r>
        <w:rPr>
          <w:rFonts w:ascii="Times New Roman" w:hAnsi="Times New Roman" w:eastAsia="宋体" w:cs="Times New Roman"/>
          <w:sz w:val="28"/>
          <w:szCs w:val="28"/>
        </w:rPr>
        <w:t>0.04t/a、NOx 0.1t/a、颗粒物（烟粉尘）3.46t/a、沥青烟0.16t/a、苯并芘0.00001t/a、非甲烷总烃0.12t/a。</w:t>
      </w:r>
    </w:p>
    <w:p>
      <w:pPr>
        <w:pageBreakBefore w:val="0"/>
        <w:kinsoku/>
        <w:overflowPunct/>
        <w:topLinePunct w:val="0"/>
        <w:autoSpaceDE/>
        <w:autoSpaceDN/>
        <w:bidi w:val="0"/>
        <w:adjustRightInd/>
        <w:spacing w:line="500" w:lineRule="exact"/>
        <w:ind w:firstLine="560" w:firstLineChars="200"/>
        <w:contextualSpacing/>
        <w:textAlignment w:val="auto"/>
        <w:rPr>
          <w:rFonts w:ascii="Times New Roman" w:hAnsi="Times New Roman" w:eastAsia="宋体" w:cs="Times New Roman"/>
          <w:sz w:val="28"/>
          <w:szCs w:val="32"/>
        </w:rPr>
      </w:pPr>
      <w:r>
        <w:rPr>
          <w:rFonts w:ascii="Times New Roman" w:hAnsi="Times New Roman" w:eastAsia="宋体" w:cs="Times New Roman"/>
          <w:sz w:val="28"/>
          <w:szCs w:val="32"/>
        </w:rPr>
        <w:t>（2）废水</w:t>
      </w:r>
    </w:p>
    <w:p>
      <w:pPr>
        <w:pageBreakBefore w:val="0"/>
        <w:widowControl/>
        <w:kinsoku/>
        <w:overflowPunct/>
        <w:topLinePunct w:val="0"/>
        <w:autoSpaceDE/>
        <w:autoSpaceDN/>
        <w:bidi w:val="0"/>
        <w:adjustRightInd/>
        <w:spacing w:line="500" w:lineRule="exact"/>
        <w:ind w:firstLine="560" w:firstLineChars="200"/>
        <w:jc w:val="left"/>
        <w:textAlignment w:val="auto"/>
        <w:rPr>
          <w:rFonts w:ascii="Times New Roman" w:hAnsi="Times New Roman" w:eastAsia="宋体" w:cs="Times New Roman"/>
          <w:kern w:val="0"/>
          <w:sz w:val="28"/>
          <w:szCs w:val="28"/>
          <w:lang w:bidi="ar"/>
        </w:rPr>
      </w:pPr>
      <w:r>
        <w:rPr>
          <w:rFonts w:ascii="Times New Roman" w:hAnsi="Times New Roman" w:eastAsia="宋体" w:cs="Times New Roman"/>
          <w:kern w:val="0"/>
          <w:sz w:val="28"/>
          <w:szCs w:val="28"/>
          <w:lang w:bidi="ar"/>
        </w:rPr>
        <w:t>变动后，废水</w:t>
      </w:r>
      <w:r>
        <w:rPr>
          <w:rFonts w:ascii="Times New Roman" w:hAnsi="Times New Roman" w:eastAsia="宋体" w:cs="Times New Roman"/>
          <w:sz w:val="28"/>
          <w:szCs w:val="28"/>
        </w:rPr>
        <w:t>产生、排放情况及不</w:t>
      </w:r>
      <w:r>
        <w:rPr>
          <w:rFonts w:ascii="Times New Roman" w:hAnsi="Times New Roman" w:eastAsia="宋体" w:cs="Times New Roman"/>
          <w:kern w:val="0"/>
          <w:sz w:val="28"/>
          <w:szCs w:val="28"/>
          <w:lang w:bidi="ar"/>
        </w:rPr>
        <w:t>防治措施</w:t>
      </w:r>
      <w:r>
        <w:rPr>
          <w:rFonts w:ascii="Times New Roman" w:hAnsi="Times New Roman" w:eastAsia="宋体" w:cs="Times New Roman"/>
          <w:sz w:val="28"/>
          <w:szCs w:val="28"/>
        </w:rPr>
        <w:t>发生变动。</w:t>
      </w:r>
    </w:p>
    <w:p>
      <w:pPr>
        <w:pageBreakBefore w:val="0"/>
        <w:kinsoku/>
        <w:overflowPunct/>
        <w:topLinePunct w:val="0"/>
        <w:autoSpaceDE/>
        <w:autoSpaceDN/>
        <w:bidi w:val="0"/>
        <w:adjustRightInd/>
        <w:spacing w:line="500" w:lineRule="exact"/>
        <w:ind w:firstLine="560" w:firstLineChars="200"/>
        <w:contextualSpacing/>
        <w:textAlignment w:val="auto"/>
        <w:rPr>
          <w:rFonts w:ascii="Times New Roman" w:hAnsi="Times New Roman" w:eastAsia="宋体" w:cs="Times New Roman"/>
          <w:sz w:val="28"/>
          <w:szCs w:val="32"/>
        </w:rPr>
      </w:pPr>
      <w:bookmarkStart w:id="18" w:name="_Toc150182769"/>
      <w:r>
        <w:rPr>
          <w:rFonts w:ascii="Times New Roman" w:hAnsi="Times New Roman" w:eastAsia="宋体" w:cs="Times New Roman"/>
          <w:sz w:val="28"/>
          <w:szCs w:val="32"/>
        </w:rPr>
        <w:t>（3）固废</w:t>
      </w:r>
    </w:p>
    <w:p>
      <w:pPr>
        <w:pageBreakBefore w:val="0"/>
        <w:kinsoku/>
        <w:overflowPunct/>
        <w:topLinePunct w:val="0"/>
        <w:autoSpaceDE/>
        <w:autoSpaceDN/>
        <w:bidi w:val="0"/>
        <w:adjustRightInd/>
        <w:spacing w:line="500" w:lineRule="exact"/>
        <w:ind w:firstLine="560" w:firstLineChars="200"/>
        <w:contextualSpacing/>
        <w:textAlignment w:val="auto"/>
        <w:rPr>
          <w:rFonts w:ascii="Times New Roman" w:hAnsi="Times New Roman" w:eastAsia="宋体" w:cs="Times New Roman"/>
          <w:sz w:val="28"/>
          <w:szCs w:val="32"/>
        </w:rPr>
      </w:pPr>
      <w:r>
        <w:rPr>
          <w:rFonts w:ascii="Times New Roman" w:hAnsi="Times New Roman" w:eastAsia="宋体" w:cs="Times New Roman"/>
          <w:sz w:val="28"/>
          <w:szCs w:val="32"/>
        </w:rPr>
        <w:t>变动后，项目固废产生工序及产生量不发生变动。危险废物废活性炭及废灯管全部委托有资质单位处置，一般工业固体废物废灰渣回收利用，固废零排放，对周围环境影响较小。</w:t>
      </w:r>
    </w:p>
    <w:p>
      <w:pPr>
        <w:pageBreakBefore w:val="0"/>
        <w:kinsoku/>
        <w:overflowPunct/>
        <w:topLinePunct w:val="0"/>
        <w:autoSpaceDE/>
        <w:autoSpaceDN/>
        <w:bidi w:val="0"/>
        <w:adjustRightInd/>
        <w:spacing w:line="500" w:lineRule="exact"/>
        <w:ind w:firstLine="560" w:firstLineChars="200"/>
        <w:contextualSpacing/>
        <w:textAlignment w:val="auto"/>
        <w:rPr>
          <w:rFonts w:ascii="Times New Roman" w:hAnsi="Times New Roman" w:eastAsia="宋体" w:cs="Times New Roman"/>
          <w:sz w:val="28"/>
          <w:szCs w:val="32"/>
        </w:rPr>
      </w:pPr>
      <w:r>
        <w:rPr>
          <w:rFonts w:ascii="Times New Roman" w:hAnsi="Times New Roman" w:eastAsia="宋体" w:cs="Times New Roman"/>
          <w:sz w:val="28"/>
          <w:szCs w:val="28"/>
        </w:rPr>
        <w:t>企业厂区内建有1座6m</w:t>
      </w:r>
      <w:r>
        <w:rPr>
          <w:rFonts w:ascii="Times New Roman" w:hAnsi="Times New Roman" w:eastAsia="宋体" w:cs="Times New Roman"/>
          <w:sz w:val="28"/>
          <w:szCs w:val="28"/>
          <w:vertAlign w:val="superscript"/>
        </w:rPr>
        <w:t>2</w:t>
      </w:r>
      <w:r>
        <w:rPr>
          <w:rFonts w:ascii="Times New Roman" w:hAnsi="Times New Roman" w:eastAsia="宋体" w:cs="Times New Roman"/>
          <w:sz w:val="28"/>
          <w:szCs w:val="28"/>
        </w:rPr>
        <w:t>的危废暂存间，最大贮存能力5t。企业危废暂存间的建设</w:t>
      </w:r>
      <w:r>
        <w:rPr>
          <w:rFonts w:ascii="Times New Roman" w:hAnsi="Times New Roman" w:eastAsia="宋体" w:cs="Times New Roman"/>
          <w:sz w:val="28"/>
          <w:szCs w:val="32"/>
        </w:rPr>
        <w:t>符合《危险废物贮存污染控制标准》（GB18597-2023）、《危险废物识别标志设置技术规范》（HJ1276-2022）和《关于进一步加强危险废物污染防治工作的实施意见》（苏环办[2019]327号）、《省生态环境厅关于做好江苏省危险废物全生命周期监控系统上线运行工作的通知》（苏环办[2020]401号）等文件相关规定，变更后全厂危废量约1.001t/a。同时企业已与相关有资质单位签订了危险废物处置合同，能够确保企业产生的危险废物及时转移。</w:t>
      </w:r>
    </w:p>
    <w:p>
      <w:pPr>
        <w:pStyle w:val="3"/>
        <w:pageBreakBefore w:val="0"/>
        <w:kinsoku/>
        <w:overflowPunct/>
        <w:topLinePunct w:val="0"/>
        <w:autoSpaceDE/>
        <w:autoSpaceDN/>
        <w:bidi w:val="0"/>
        <w:adjustRightInd/>
        <w:spacing w:before="0" w:beforeLines="0" w:after="0" w:afterLines="0" w:line="500" w:lineRule="exact"/>
        <w:ind w:left="210"/>
        <w:textAlignment w:val="auto"/>
        <w:rPr>
          <w:rFonts w:eastAsia="宋体" w:cs="Times New Roman"/>
        </w:rPr>
      </w:pPr>
      <w:r>
        <w:rPr>
          <w:rFonts w:eastAsia="宋体" w:cs="Times New Roman"/>
        </w:rPr>
        <w:t>环境风险</w:t>
      </w:r>
      <w:bookmarkEnd w:id="18"/>
    </w:p>
    <w:p>
      <w:pPr>
        <w:pStyle w:val="120"/>
        <w:pageBreakBefore w:val="0"/>
        <w:kinsoku/>
        <w:overflowPunct/>
        <w:topLinePunct w:val="0"/>
        <w:autoSpaceDE/>
        <w:autoSpaceDN/>
        <w:bidi w:val="0"/>
        <w:adjustRightInd/>
        <w:spacing w:line="500" w:lineRule="exact"/>
        <w:ind w:firstLine="560" w:firstLineChars="200"/>
        <w:textAlignment w:val="auto"/>
        <w:rPr>
          <w:sz w:val="28"/>
          <w:szCs w:val="32"/>
        </w:rPr>
      </w:pPr>
      <w:r>
        <w:rPr>
          <w:sz w:val="28"/>
          <w:szCs w:val="32"/>
        </w:rPr>
        <w:t>企业现有项目涉及环境风险物质为</w:t>
      </w:r>
      <w:r>
        <w:rPr>
          <w:sz w:val="28"/>
          <w:szCs w:val="28"/>
        </w:rPr>
        <w:t>柴油、导热油、危险固废等，变动后增加风险物质甲烷，故对风险物质进行重新核算。</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计算所涉及的每种危险物质在厂界内的最大存在总量与其在附录B中对应临界量的比值Q。在不同厂区的同一种物质，按其在厂界内的最大存在总量计算。</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当只涉及一种危险物质时，计算该物质的总量与其临界量比值，即为Q；</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当存在多种危险物质时，则下式计算物质总量与其临界量比值（Q）：</w:t>
      </w:r>
    </w:p>
    <w:p>
      <w:pPr>
        <w:pageBreakBefore w:val="0"/>
        <w:kinsoku/>
        <w:wordWrap w:val="0"/>
        <w:overflowPunct/>
        <w:topLinePunct w:val="0"/>
        <w:autoSpaceDE/>
        <w:autoSpaceDN/>
        <w:bidi w:val="0"/>
        <w:adjustRightInd/>
        <w:snapToGrid w:val="0"/>
        <w:spacing w:line="500" w:lineRule="exact"/>
        <w:ind w:firstLine="560" w:firstLineChars="200"/>
        <w:jc w:val="center"/>
        <w:textAlignment w:val="auto"/>
        <w:rPr>
          <w:rFonts w:ascii="Times New Roman" w:hAnsi="Times New Roman" w:eastAsia="宋体" w:cs="Times New Roman"/>
          <w:sz w:val="28"/>
          <w:szCs w:val="28"/>
        </w:rPr>
      </w:pPr>
      <w:r>
        <w:rPr>
          <w:rFonts w:ascii="Times New Roman" w:hAnsi="Times New Roman" w:eastAsia="宋体" w:cs="Times New Roman"/>
          <w:sz w:val="28"/>
          <w:szCs w:val="28"/>
        </w:rPr>
        <w:t>Q=q</w:t>
      </w:r>
      <w:r>
        <w:rPr>
          <w:rFonts w:ascii="Times New Roman" w:hAnsi="Times New Roman" w:eastAsia="宋体" w:cs="Times New Roman"/>
          <w:sz w:val="28"/>
          <w:szCs w:val="28"/>
          <w:vertAlign w:val="subscript"/>
        </w:rPr>
        <w:t>1</w:t>
      </w:r>
      <w:r>
        <w:rPr>
          <w:rFonts w:ascii="Times New Roman" w:hAnsi="Times New Roman" w:eastAsia="宋体" w:cs="Times New Roman"/>
          <w:sz w:val="28"/>
          <w:szCs w:val="28"/>
        </w:rPr>
        <w:t>/Q</w:t>
      </w:r>
      <w:r>
        <w:rPr>
          <w:rFonts w:ascii="Times New Roman" w:hAnsi="Times New Roman" w:eastAsia="宋体" w:cs="Times New Roman"/>
          <w:sz w:val="28"/>
          <w:szCs w:val="28"/>
          <w:vertAlign w:val="subscript"/>
        </w:rPr>
        <w:t>1</w:t>
      </w:r>
      <w:r>
        <w:rPr>
          <w:rFonts w:ascii="Times New Roman" w:hAnsi="Times New Roman" w:eastAsia="宋体" w:cs="Times New Roman"/>
          <w:sz w:val="28"/>
          <w:szCs w:val="28"/>
        </w:rPr>
        <w:t>+q</w:t>
      </w:r>
      <w:r>
        <w:rPr>
          <w:rFonts w:ascii="Times New Roman" w:hAnsi="Times New Roman" w:eastAsia="宋体" w:cs="Times New Roman"/>
          <w:sz w:val="28"/>
          <w:szCs w:val="28"/>
          <w:vertAlign w:val="subscript"/>
        </w:rPr>
        <w:t>2</w:t>
      </w:r>
      <w:r>
        <w:rPr>
          <w:rFonts w:ascii="Times New Roman" w:hAnsi="Times New Roman" w:eastAsia="宋体" w:cs="Times New Roman"/>
          <w:sz w:val="28"/>
          <w:szCs w:val="28"/>
        </w:rPr>
        <w:t>/Q</w:t>
      </w:r>
      <w:r>
        <w:rPr>
          <w:rFonts w:ascii="Times New Roman" w:hAnsi="Times New Roman" w:eastAsia="宋体" w:cs="Times New Roman"/>
          <w:sz w:val="28"/>
          <w:szCs w:val="28"/>
          <w:vertAlign w:val="subscript"/>
        </w:rPr>
        <w:t>2</w:t>
      </w:r>
      <w:r>
        <w:rPr>
          <w:rFonts w:ascii="Times New Roman" w:hAnsi="Times New Roman" w:eastAsia="宋体" w:cs="Times New Roman"/>
          <w:sz w:val="28"/>
          <w:szCs w:val="28"/>
        </w:rPr>
        <w:t>……+q</w:t>
      </w:r>
      <w:r>
        <w:rPr>
          <w:rFonts w:ascii="Times New Roman" w:hAnsi="Times New Roman" w:eastAsia="宋体" w:cs="Times New Roman"/>
          <w:sz w:val="28"/>
          <w:szCs w:val="28"/>
          <w:vertAlign w:val="subscript"/>
        </w:rPr>
        <w:t>n</w:t>
      </w:r>
      <w:r>
        <w:rPr>
          <w:rFonts w:ascii="Times New Roman" w:hAnsi="Times New Roman" w:eastAsia="宋体" w:cs="Times New Roman"/>
          <w:sz w:val="28"/>
          <w:szCs w:val="28"/>
        </w:rPr>
        <w:t>/Q</w:t>
      </w:r>
      <w:r>
        <w:rPr>
          <w:rFonts w:ascii="Times New Roman" w:hAnsi="Times New Roman" w:eastAsia="宋体" w:cs="Times New Roman"/>
          <w:sz w:val="28"/>
          <w:szCs w:val="28"/>
          <w:vertAlign w:val="subscript"/>
        </w:rPr>
        <w:t>n</w:t>
      </w:r>
    </w:p>
    <w:p>
      <w:pPr>
        <w:pageBreakBefore w:val="0"/>
        <w:kinsoku/>
        <w:wordWrap w:val="0"/>
        <w:overflowPunct/>
        <w:topLinePunct w:val="0"/>
        <w:autoSpaceDE/>
        <w:autoSpaceDN/>
        <w:bidi w:val="0"/>
        <w:adjustRightInd/>
        <w:snapToGrid w:val="0"/>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式中：</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q1、q2…qn—每种危险物质的最大存在量，t；</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Q1、Q2…Qn—与各危险物质相对应的临界量，t。</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当Q＜1时，该项目环境风险潜势为I。</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sz w:val="28"/>
          <w:szCs w:val="28"/>
        </w:rPr>
      </w:pPr>
      <w:r>
        <w:rPr>
          <w:rFonts w:ascii="Times New Roman" w:hAnsi="Times New Roman" w:eastAsia="宋体" w:cs="Times New Roman"/>
          <w:sz w:val="28"/>
          <w:szCs w:val="28"/>
        </w:rPr>
        <w:t>当Q≥1时，将Q值划分为：</w:t>
      </w:r>
    </w:p>
    <w:p>
      <w:pPr>
        <w:pageBreakBefore w:val="0"/>
        <w:kinsoku/>
        <w:wordWrap w:val="0"/>
        <w:overflowPunct/>
        <w:topLinePunct w:val="0"/>
        <w:autoSpaceDE/>
        <w:autoSpaceDN/>
        <w:bidi w:val="0"/>
        <w:adjustRightInd/>
        <w:spacing w:line="500" w:lineRule="exact"/>
        <w:ind w:firstLine="1120" w:firstLineChars="400"/>
        <w:textAlignment w:val="auto"/>
        <w:rPr>
          <w:rFonts w:ascii="Times New Roman" w:hAnsi="Times New Roman" w:eastAsia="宋体" w:cs="Times New Roman"/>
          <w:sz w:val="28"/>
          <w:szCs w:val="28"/>
        </w:rPr>
      </w:pPr>
      <w:r>
        <w:rPr>
          <w:rFonts w:ascii="Times New Roman" w:hAnsi="Times New Roman" w:eastAsia="宋体" w:cs="Times New Roman"/>
          <w:sz w:val="28"/>
          <w:szCs w:val="28"/>
        </w:rPr>
        <w:t>（1）1≤Q＜10；（2）10≤Q＜100；（3）Q≥100。</w:t>
      </w:r>
    </w:p>
    <w:p>
      <w:pPr>
        <w:pageBreakBefore w:val="0"/>
        <w:kinsoku/>
        <w:wordWrap w:val="0"/>
        <w:overflowPunct/>
        <w:topLinePunct w:val="0"/>
        <w:autoSpaceDE/>
        <w:autoSpaceDN/>
        <w:bidi w:val="0"/>
        <w:adjustRightInd/>
        <w:spacing w:line="500" w:lineRule="exact"/>
        <w:ind w:firstLine="560" w:firstLineChars="200"/>
        <w:textAlignment w:val="auto"/>
        <w:rPr>
          <w:rFonts w:ascii="Times New Roman" w:hAnsi="Times New Roman" w:eastAsia="宋体" w:cs="Times New Roman"/>
          <w:color w:val="000000"/>
          <w:sz w:val="28"/>
          <w:szCs w:val="28"/>
        </w:rPr>
      </w:pPr>
      <w:r>
        <w:rPr>
          <w:rFonts w:ascii="Times New Roman" w:hAnsi="Times New Roman" w:eastAsia="宋体" w:cs="Times New Roman"/>
          <w:sz w:val="28"/>
          <w:szCs w:val="28"/>
        </w:rPr>
        <w:t>对照《建设项目环境风险评价技术导则》（HJ169－2018）本项目涉及的主要风险物质为天然气中的甲烷。</w:t>
      </w:r>
      <w:r>
        <w:rPr>
          <w:rFonts w:ascii="Times New Roman" w:hAnsi="Times New Roman" w:eastAsia="宋体" w:cs="Times New Roman"/>
          <w:color w:val="000000"/>
          <w:sz w:val="28"/>
          <w:szCs w:val="28"/>
        </w:rPr>
        <w:t>危险物质总量与临界量的比值Q计算结果表。</w:t>
      </w:r>
    </w:p>
    <w:p>
      <w:pPr>
        <w:keepNext/>
        <w:pageBreakBefore w:val="0"/>
        <w:kinsoku/>
        <w:wordWrap w:val="0"/>
        <w:overflowPunct/>
        <w:topLinePunct w:val="0"/>
        <w:autoSpaceDE/>
        <w:autoSpaceDN/>
        <w:bidi w:val="0"/>
        <w:adjustRightInd/>
        <w:spacing w:line="500" w:lineRule="exact"/>
        <w:jc w:val="center"/>
        <w:textAlignment w:val="auto"/>
        <w:rPr>
          <w:rFonts w:ascii="Times New Roman" w:hAnsi="Times New Roman" w:eastAsia="宋体" w:cs="Times New Roman"/>
          <w:b/>
          <w:color w:val="000000"/>
          <w:sz w:val="24"/>
          <w:szCs w:val="24"/>
        </w:rPr>
      </w:pPr>
      <w:r>
        <w:rPr>
          <w:rFonts w:ascii="Times New Roman" w:hAnsi="Times New Roman" w:eastAsia="宋体" w:cs="Times New Roman"/>
          <w:b/>
          <w:color w:val="000000"/>
          <w:sz w:val="24"/>
          <w:szCs w:val="24"/>
        </w:rPr>
        <w:t>表</w:t>
      </w:r>
      <w:r>
        <w:rPr>
          <w:rFonts w:hint="eastAsia" w:ascii="Times New Roman" w:hAnsi="Times New Roman" w:eastAsia="宋体" w:cs="Times New Roman"/>
          <w:b/>
          <w:color w:val="000000"/>
          <w:sz w:val="24"/>
          <w:szCs w:val="24"/>
        </w:rPr>
        <w:t>3.2</w:t>
      </w:r>
      <w:r>
        <w:rPr>
          <w:rFonts w:ascii="Times New Roman" w:hAnsi="Times New Roman" w:eastAsia="宋体" w:cs="Times New Roman"/>
          <w:b/>
          <w:color w:val="000000"/>
          <w:sz w:val="24"/>
          <w:szCs w:val="24"/>
        </w:rPr>
        <w:t>-1 危险物质数量与临界值比值表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115"/>
        <w:gridCol w:w="1115"/>
        <w:gridCol w:w="1776"/>
        <w:gridCol w:w="1248"/>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bCs/>
                <w:color w:val="000000"/>
                <w:kern w:val="0"/>
                <w:szCs w:val="21"/>
              </w:rPr>
            </w:pPr>
            <w:r>
              <w:rPr>
                <w:rFonts w:ascii="Times New Roman" w:hAnsi="Times New Roman" w:eastAsia="宋体" w:cs="Times New Roman"/>
                <w:bCs/>
                <w:color w:val="000000"/>
                <w:kern w:val="0"/>
                <w:szCs w:val="21"/>
              </w:rPr>
              <w:t>名称</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bCs/>
                <w:color w:val="000000"/>
                <w:kern w:val="0"/>
                <w:szCs w:val="21"/>
              </w:rPr>
            </w:pPr>
            <w:r>
              <w:rPr>
                <w:rFonts w:ascii="Times New Roman" w:hAnsi="Times New Roman" w:eastAsia="宋体" w:cs="Times New Roman"/>
                <w:szCs w:val="24"/>
              </w:rPr>
              <w:t>CAS号</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bCs/>
                <w:color w:val="000000"/>
                <w:kern w:val="0"/>
                <w:szCs w:val="21"/>
              </w:rPr>
            </w:pPr>
            <w:r>
              <w:rPr>
                <w:rFonts w:ascii="Times New Roman" w:hAnsi="Times New Roman" w:eastAsia="宋体" w:cs="Times New Roman"/>
                <w:bCs/>
                <w:color w:val="000000"/>
                <w:kern w:val="0"/>
                <w:szCs w:val="21"/>
              </w:rPr>
              <w:t>临界量Q</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最大贮存量q</w:t>
            </w:r>
          </w:p>
        </w:tc>
        <w:tc>
          <w:tcPr>
            <w:tcW w:w="732" w:type="pct"/>
            <w:tcBorders>
              <w:tl2br w:val="nil"/>
              <w:tr2bl w:val="nil"/>
            </w:tcBorders>
            <w:vAlign w:val="center"/>
          </w:tcPr>
          <w:p>
            <w:pPr>
              <w:widowControl/>
              <w:spacing w:line="300" w:lineRule="exact"/>
              <w:jc w:val="center"/>
              <w:rPr>
                <w:rFonts w:ascii="Times New Roman" w:hAnsi="Times New Roman" w:eastAsia="宋体" w:cs="Times New Roman"/>
                <w:bCs/>
                <w:color w:val="000000"/>
                <w:kern w:val="0"/>
                <w:szCs w:val="21"/>
              </w:rPr>
            </w:pPr>
            <w:r>
              <w:rPr>
                <w:rFonts w:ascii="Times New Roman" w:hAnsi="Times New Roman" w:eastAsia="宋体" w:cs="Times New Roman"/>
                <w:bCs/>
                <w:color w:val="000000"/>
                <w:kern w:val="0"/>
                <w:szCs w:val="21"/>
              </w:rPr>
              <w:t>q/Q</w:t>
            </w:r>
          </w:p>
        </w:tc>
        <w:tc>
          <w:tcPr>
            <w:tcW w:w="1263" w:type="pct"/>
            <w:tcBorders>
              <w:tl2br w:val="nil"/>
              <w:tr2bl w:val="nil"/>
            </w:tcBorders>
            <w:vAlign w:val="center"/>
          </w:tcPr>
          <w:p>
            <w:pPr>
              <w:widowControl/>
              <w:spacing w:line="300" w:lineRule="exact"/>
              <w:jc w:val="center"/>
              <w:rPr>
                <w:rFonts w:ascii="Times New Roman" w:hAnsi="Times New Roman" w:eastAsia="宋体" w:cs="Times New Roman"/>
                <w:bCs/>
                <w:color w:val="000000"/>
                <w:kern w:val="0"/>
                <w:szCs w:val="21"/>
              </w:rPr>
            </w:pPr>
            <w:r>
              <w:rPr>
                <w:rFonts w:ascii="Times New Roman" w:hAnsi="Times New Roman" w:eastAsia="宋体" w:cs="Times New Roman"/>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甲烷</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lang w:bidi="ar"/>
              </w:rPr>
              <w:t>74-82-8</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0.437</w:t>
            </w:r>
          </w:p>
        </w:tc>
        <w:tc>
          <w:tcPr>
            <w:tcW w:w="1248"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lang w:bidi="ar"/>
              </w:rPr>
              <w:t>0.0437</w:t>
            </w:r>
          </w:p>
        </w:tc>
        <w:tc>
          <w:tcPr>
            <w:tcW w:w="126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变动后新增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柴油</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rPr>
              <w:t>/</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2500</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60</w:t>
            </w:r>
          </w:p>
        </w:tc>
        <w:tc>
          <w:tcPr>
            <w:tcW w:w="1248"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lang w:bidi="ar"/>
              </w:rPr>
              <w:t>0.024</w:t>
            </w:r>
          </w:p>
        </w:tc>
        <w:tc>
          <w:tcPr>
            <w:tcW w:w="126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导热油</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rPr>
              <w:t>/</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2500</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20</w:t>
            </w:r>
          </w:p>
        </w:tc>
        <w:tc>
          <w:tcPr>
            <w:tcW w:w="1248"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lang w:bidi="ar"/>
              </w:rPr>
              <w:t>0.008</w:t>
            </w:r>
          </w:p>
        </w:tc>
        <w:tc>
          <w:tcPr>
            <w:tcW w:w="126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废活性炭</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rPr>
              <w:t>/</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248"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lang w:bidi="ar"/>
              </w:rPr>
              <w:t>0.02</w:t>
            </w:r>
          </w:p>
        </w:tc>
        <w:tc>
          <w:tcPr>
            <w:tcW w:w="126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废灯管</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rPr>
              <w:t>/</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0.001</w:t>
            </w:r>
          </w:p>
        </w:tc>
        <w:tc>
          <w:tcPr>
            <w:tcW w:w="1248"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lang w:bidi="ar"/>
              </w:rPr>
              <w:t>0.00002</w:t>
            </w:r>
          </w:p>
        </w:tc>
        <w:tc>
          <w:tcPr>
            <w:tcW w:w="126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653"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合计</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654"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041" w:type="pct"/>
            <w:tcBorders>
              <w:tl2br w:val="nil"/>
              <w:tr2bl w:val="nil"/>
            </w:tcBorders>
            <w:vAlign w:val="center"/>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c>
          <w:tcPr>
            <w:tcW w:w="1248"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24"/>
                <w:szCs w:val="24"/>
                <w:lang w:bidi="ar"/>
              </w:rPr>
              <w:t>0.09572</w:t>
            </w:r>
          </w:p>
        </w:tc>
        <w:tc>
          <w:tcPr>
            <w:tcW w:w="1263" w:type="pct"/>
            <w:tcBorders>
              <w:tl2br w:val="nil"/>
              <w:tr2bl w:val="nil"/>
            </w:tcBorders>
            <w:noWrap/>
            <w:vAlign w:val="bottom"/>
          </w:tcPr>
          <w:p>
            <w:pPr>
              <w:widowControl/>
              <w:spacing w:line="30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p>
        </w:tc>
      </w:tr>
    </w:tbl>
    <w:p>
      <w:pPr>
        <w:keepNext w:val="0"/>
        <w:keepLines w:val="0"/>
        <w:pageBreakBefore w:val="0"/>
        <w:widowControl w:val="0"/>
        <w:kinsoku/>
        <w:wordWrap w:val="0"/>
        <w:overflowPunct/>
        <w:topLinePunct w:val="0"/>
        <w:autoSpaceDE/>
        <w:autoSpaceDN/>
        <w:bidi w:val="0"/>
        <w:adjustRightInd/>
        <w:snapToGrid/>
        <w:spacing w:line="500" w:lineRule="exact"/>
        <w:ind w:firstLine="560" w:firstLineChars="200"/>
        <w:textAlignment w:val="auto"/>
        <w:rPr>
          <w:rFonts w:ascii="Times New Roman" w:hAnsi="Times New Roman" w:eastAsia="宋体" w:cs="Times New Roman"/>
          <w:b/>
          <w:color w:val="000000"/>
          <w:spacing w:val="-10"/>
          <w:sz w:val="28"/>
          <w:szCs w:val="28"/>
        </w:rPr>
      </w:pPr>
      <w:r>
        <w:rPr>
          <w:rFonts w:ascii="Times New Roman" w:hAnsi="Times New Roman" w:eastAsia="宋体" w:cs="Times New Roman"/>
          <w:color w:val="000000"/>
          <w:sz w:val="28"/>
          <w:szCs w:val="28"/>
        </w:rPr>
        <w:t>本项目Q值0.09572＜1，所以，本项目环境风险潜势为I类，环境风险评价可简要分析。</w:t>
      </w:r>
    </w:p>
    <w:p>
      <w:pPr>
        <w:keepNext w:val="0"/>
        <w:keepLines w:val="0"/>
        <w:pageBreakBefore w:val="0"/>
        <w:widowControl w:val="0"/>
        <w:kinsoku/>
        <w:overflowPunct/>
        <w:topLinePunct w:val="0"/>
        <w:autoSpaceDE/>
        <w:autoSpaceDN/>
        <w:bidi w:val="0"/>
        <w:adjustRightInd/>
        <w:snapToGrid/>
        <w:spacing w:line="500" w:lineRule="exact"/>
        <w:ind w:firstLine="560" w:firstLineChars="200"/>
        <w:contextualSpacing/>
        <w:textAlignment w:val="auto"/>
        <w:rPr>
          <w:rStyle w:val="38"/>
        </w:rPr>
      </w:pPr>
      <w:r>
        <w:rPr>
          <w:rFonts w:ascii="Times New Roman" w:hAnsi="Times New Roman" w:eastAsia="宋体" w:cs="Times New Roman"/>
          <w:sz w:val="28"/>
          <w:szCs w:val="28"/>
        </w:rPr>
        <w:t>变动后项目环境风险物质及存在量增加甲烷，但环境风险等级不变。</w:t>
      </w:r>
    </w:p>
    <w:p>
      <w:pPr>
        <w:keepNext w:val="0"/>
        <w:keepLines w:val="0"/>
        <w:pageBreakBefore w:val="0"/>
        <w:widowControl w:val="0"/>
        <w:kinsoku/>
        <w:overflowPunct/>
        <w:topLinePunct w:val="0"/>
        <w:autoSpaceDE/>
        <w:autoSpaceDN/>
        <w:bidi w:val="0"/>
        <w:adjustRightInd/>
        <w:snapToGrid/>
        <w:spacing w:line="500" w:lineRule="exact"/>
        <w:ind w:firstLine="560" w:firstLineChars="200"/>
        <w:contextualSpacing/>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新增</w:t>
      </w:r>
      <w:r>
        <w:rPr>
          <w:rFonts w:ascii="Times New Roman" w:hAnsi="Times New Roman" w:eastAsia="宋体" w:cs="Times New Roman"/>
          <w:sz w:val="28"/>
          <w:szCs w:val="28"/>
        </w:rPr>
        <w:t>环境风险防范措施</w:t>
      </w:r>
      <w:r>
        <w:rPr>
          <w:rFonts w:hint="eastAsia" w:ascii="Times New Roman" w:hAnsi="Times New Roman" w:eastAsia="宋体" w:cs="Times New Roman"/>
          <w:sz w:val="28"/>
          <w:szCs w:val="28"/>
        </w:rPr>
        <w:t>：</w:t>
      </w:r>
      <w:r>
        <w:rPr>
          <w:rFonts w:ascii="Times New Roman" w:hAnsi="Times New Roman" w:eastAsia="宋体" w:cs="Times New Roman"/>
          <w:sz w:val="28"/>
          <w:szCs w:val="28"/>
        </w:rPr>
        <w:t>设置可燃气体报警仪和紧急切断控制系统，发生泄漏时可紧急切断天然气，防止事故扩大</w:t>
      </w:r>
      <w:r>
        <w:rPr>
          <w:rFonts w:hint="eastAsia" w:ascii="Times New Roman" w:hAnsi="Times New Roman" w:eastAsia="宋体" w:cs="Times New Roman"/>
          <w:sz w:val="28"/>
          <w:szCs w:val="28"/>
        </w:rPr>
        <w:t>；</w:t>
      </w:r>
      <w:r>
        <w:rPr>
          <w:rFonts w:ascii="Times New Roman" w:hAnsi="Times New Roman" w:eastAsia="宋体" w:cs="Times New Roman"/>
          <w:sz w:val="28"/>
          <w:szCs w:val="28"/>
        </w:rPr>
        <w:t>安装视频监控系统，及时发现泄漏事故</w:t>
      </w:r>
      <w:r>
        <w:rPr>
          <w:rFonts w:hint="eastAsia" w:ascii="Times New Roman" w:hAnsi="Times New Roman" w:eastAsia="宋体" w:cs="Times New Roman"/>
          <w:sz w:val="28"/>
          <w:szCs w:val="28"/>
        </w:rPr>
        <w:t>；</w:t>
      </w:r>
      <w:r>
        <w:rPr>
          <w:rFonts w:ascii="Times New Roman" w:hAnsi="Times New Roman" w:eastAsia="宋体" w:cs="Times New Roman"/>
          <w:sz w:val="28"/>
          <w:szCs w:val="28"/>
        </w:rPr>
        <w:t>划定禁火区域，原料贮存场所禁止带火种；生产场所配置足够的消防器材及工具；员工进行消防培训与演练；发生火灾事故时及时转移相关人员与财产，及时报火警并进行必要的自救。</w:t>
      </w:r>
    </w:p>
    <w:p>
      <w:pPr>
        <w:keepNext w:val="0"/>
        <w:keepLines w:val="0"/>
        <w:pageBreakBefore w:val="0"/>
        <w:widowControl w:val="0"/>
        <w:kinsoku/>
        <w:overflowPunct/>
        <w:topLinePunct w:val="0"/>
        <w:autoSpaceDE/>
        <w:autoSpaceDN/>
        <w:bidi w:val="0"/>
        <w:adjustRightInd/>
        <w:snapToGrid/>
        <w:spacing w:line="500" w:lineRule="exact"/>
        <w:ind w:firstLine="560" w:firstLineChars="200"/>
        <w:contextualSpacing/>
        <w:textAlignment w:val="auto"/>
        <w:rPr>
          <w:rFonts w:ascii="Times New Roman" w:hAnsi="Times New Roman" w:eastAsia="宋体" w:cs="Times New Roman"/>
          <w:sz w:val="28"/>
          <w:szCs w:val="28"/>
        </w:rPr>
      </w:pPr>
      <w:r>
        <w:rPr>
          <w:rFonts w:ascii="Times New Roman" w:hAnsi="Times New Roman" w:eastAsia="宋体" w:cs="Times New Roman"/>
          <w:sz w:val="28"/>
          <w:szCs w:val="28"/>
        </w:rPr>
        <w:t>因此在企业现有风险物质及风险等级不变的情况下，现有的环境风险防范措施及应急设施配置</w:t>
      </w:r>
      <w:r>
        <w:rPr>
          <w:rFonts w:hint="eastAsia" w:ascii="Times New Roman" w:hAnsi="Times New Roman" w:eastAsia="宋体" w:cs="Times New Roman"/>
          <w:sz w:val="28"/>
          <w:szCs w:val="28"/>
        </w:rPr>
        <w:t>加上新增</w:t>
      </w:r>
      <w:r>
        <w:rPr>
          <w:rFonts w:ascii="Times New Roman" w:hAnsi="Times New Roman" w:eastAsia="宋体" w:cs="Times New Roman"/>
          <w:sz w:val="28"/>
          <w:szCs w:val="28"/>
        </w:rPr>
        <w:t>环境风险防范措施完全是有效的。</w:t>
      </w:r>
    </w:p>
    <w:p>
      <w:pPr>
        <w:keepNext w:val="0"/>
        <w:keepLines w:val="0"/>
        <w:pageBreakBefore w:val="0"/>
        <w:widowControl w:val="0"/>
        <w:kinsoku/>
        <w:overflowPunct/>
        <w:topLinePunct w:val="0"/>
        <w:autoSpaceDE/>
        <w:autoSpaceDN/>
        <w:bidi w:val="0"/>
        <w:adjustRightInd/>
        <w:snapToGrid/>
        <w:spacing w:line="500" w:lineRule="exact"/>
        <w:ind w:firstLine="560" w:firstLineChars="200"/>
        <w:contextualSpacing/>
        <w:textAlignment w:val="auto"/>
        <w:rPr>
          <w:rFonts w:ascii="Times New Roman" w:hAnsi="Times New Roman" w:eastAsia="宋体" w:cs="Times New Roman"/>
          <w:sz w:val="28"/>
          <w:szCs w:val="32"/>
        </w:rPr>
        <w:sectPr>
          <w:pgSz w:w="11906" w:h="16838"/>
          <w:pgMar w:top="1440" w:right="1800" w:bottom="1440" w:left="1800" w:header="851" w:footer="992" w:gutter="0"/>
          <w:cols w:space="425" w:num="1"/>
          <w:docGrid w:type="lines" w:linePitch="312" w:charSpace="0"/>
        </w:sectPr>
      </w:pPr>
    </w:p>
    <w:p>
      <w:pPr>
        <w:pStyle w:val="2"/>
        <w:spacing w:before="0" w:beforeLines="0" w:after="0" w:afterLines="0" w:line="600" w:lineRule="exact"/>
        <w:rPr>
          <w:rFonts w:eastAsia="宋体" w:cs="Times New Roman"/>
        </w:rPr>
      </w:pPr>
      <w:bookmarkStart w:id="19" w:name="_Toc150182770"/>
      <w:r>
        <w:rPr>
          <w:rFonts w:eastAsia="宋体" w:cs="Times New Roman"/>
        </w:rPr>
        <w:t>结论</w:t>
      </w:r>
      <w:bookmarkEnd w:id="19"/>
    </w:p>
    <w:p>
      <w:pPr>
        <w:pStyle w:val="3"/>
        <w:spacing w:before="0" w:beforeLines="0" w:after="0" w:afterLines="0"/>
        <w:ind w:left="210"/>
        <w:rPr>
          <w:rFonts w:eastAsia="宋体" w:cs="Times New Roman"/>
        </w:rPr>
      </w:pPr>
      <w:bookmarkStart w:id="20" w:name="_Toc150182771"/>
      <w:r>
        <w:rPr>
          <w:rFonts w:eastAsia="宋体" w:cs="Times New Roman"/>
        </w:rPr>
        <w:t>环评管理</w:t>
      </w:r>
      <w:bookmarkEnd w:id="20"/>
    </w:p>
    <w:p>
      <w:pPr>
        <w:widowControl/>
        <w:spacing w:line="500" w:lineRule="exact"/>
        <w:ind w:firstLine="560" w:firstLineChars="200"/>
        <w:jc w:val="left"/>
        <w:rPr>
          <w:rFonts w:ascii="Times New Roman" w:hAnsi="Times New Roman" w:eastAsia="宋体" w:cs="Times New Roman"/>
          <w:sz w:val="28"/>
          <w:szCs w:val="32"/>
        </w:rPr>
      </w:pPr>
      <w:r>
        <w:rPr>
          <w:rFonts w:ascii="Times New Roman" w:hAnsi="Times New Roman" w:eastAsia="宋体" w:cs="Times New Roman"/>
          <w:sz w:val="28"/>
          <w:szCs w:val="32"/>
        </w:rPr>
        <w:t>对照《建设项目环境影响评价分类管理名录（2021版）》，</w:t>
      </w:r>
      <w:r>
        <w:rPr>
          <w:rFonts w:hint="eastAsia" w:ascii="Times New Roman" w:hAnsi="Times New Roman" w:eastAsia="宋体" w:cs="Times New Roman"/>
          <w:sz w:val="28"/>
          <w:szCs w:val="32"/>
          <w:lang w:val="en-US" w:eastAsia="zh-CN"/>
        </w:rPr>
        <w:t>明确</w:t>
      </w:r>
      <w:r>
        <w:rPr>
          <w:rFonts w:ascii="Times New Roman" w:hAnsi="Times New Roman" w:eastAsia="宋体" w:cs="Times New Roman"/>
          <w:snapToGrid w:val="0"/>
          <w:sz w:val="28"/>
          <w:szCs w:val="28"/>
        </w:rPr>
        <w:t>原料部分更换为使用旧沥青混合料、燃料改用天然气</w:t>
      </w:r>
      <w:r>
        <w:rPr>
          <w:rFonts w:ascii="Times New Roman" w:hAnsi="Times New Roman" w:eastAsia="宋体" w:cs="Times New Roman"/>
          <w:sz w:val="28"/>
          <w:szCs w:val="32"/>
        </w:rPr>
        <w:t>无需纳入环评管理范围，可纳入排污许可证管理。</w:t>
      </w:r>
    </w:p>
    <w:p>
      <w:pPr>
        <w:pStyle w:val="3"/>
        <w:spacing w:before="0" w:beforeLines="0" w:after="0" w:afterLines="0"/>
        <w:ind w:left="210"/>
        <w:rPr>
          <w:rFonts w:eastAsia="宋体" w:cs="Times New Roman"/>
        </w:rPr>
      </w:pPr>
      <w:bookmarkStart w:id="21" w:name="_Toc150182772"/>
      <w:r>
        <w:rPr>
          <w:rFonts w:eastAsia="宋体" w:cs="Times New Roman"/>
        </w:rPr>
        <w:t>排污许可管理</w:t>
      </w:r>
      <w:bookmarkEnd w:id="21"/>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对照《固定污染源排污许可分类管理名录（2019年版）》，本项目列为第70类：“其他非金属矿物制品制造 3099（单晶硅棒，沥青混合物）”。排污许可属于简化管理类。</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对照《排污许可管理条例》（中华人民共和国国务院令 第736号）第十五条，在排污许可证有效期内，排污单位有下列情形之一的，应当重新申请取得排污许可证：</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（1）新建、改建、扩建排放污染物的项目；</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（2）生产经营场所、污染物排放口位置或者污染物排放方式、排放去向发生变化；</w:t>
      </w:r>
    </w:p>
    <w:p>
      <w:pPr>
        <w:spacing w:line="500" w:lineRule="exact"/>
        <w:ind w:firstLine="560" w:firstLineChars="200"/>
        <w:contextualSpacing/>
        <w:rPr>
          <w:rFonts w:ascii="Times New Roman" w:hAnsi="Times New Roman" w:eastAsia="宋体" w:cs="Times New Roman"/>
          <w:sz w:val="28"/>
          <w:szCs w:val="32"/>
        </w:rPr>
      </w:pPr>
      <w:r>
        <w:rPr>
          <w:rFonts w:ascii="Times New Roman" w:hAnsi="Times New Roman" w:eastAsia="宋体" w:cs="Times New Roman"/>
          <w:sz w:val="28"/>
          <w:szCs w:val="32"/>
        </w:rPr>
        <w:t>（3）污染物排放口数量或者污染物排放种类、排放量、排放浓度增加。</w:t>
      </w:r>
    </w:p>
    <w:p>
      <w:pPr>
        <w:spacing w:line="500" w:lineRule="exact"/>
        <w:ind w:firstLine="560" w:firstLineChars="200"/>
        <w:contextualSpacing/>
        <w:rPr>
          <w:rFonts w:ascii="Times New Roman" w:hAnsi="Times New Roman" w:eastAsia="宋体" w:cs="Times New Roman"/>
        </w:rPr>
      </w:pPr>
      <w:r>
        <w:rPr>
          <w:rFonts w:ascii="Times New Roman" w:hAnsi="Times New Roman" w:eastAsia="宋体" w:cs="Times New Roman"/>
          <w:sz w:val="28"/>
          <w:szCs w:val="32"/>
        </w:rPr>
        <w:t>连云港天丰沥青有限公司本次变动后沥青加热废气排放去向变化，根据《排污许可管理条例》的要求需要重新申请排污许可证。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swiss"/>
    <w:pitch w:val="default"/>
    <w:sig w:usb0="F7FFAEFF" w:usb1="F9DFFFFF" w:usb2="0000007F" w:usb3="00000000" w:csb0="203F01FF" w:csb1="DFFF0000"/>
  </w:font>
  <w:font w:name="MingLiU">
    <w:altName w:val="PMingLiU-ExtB"/>
    <w:panose1 w:val="02010609000101010101"/>
    <w:charset w:val="88"/>
    <w:family w:val="modern"/>
    <w:pitch w:val="default"/>
    <w:sig w:usb0="00000000" w:usb1="00000000" w:usb2="00000010" w:usb3="00000000" w:csb0="00100000" w:csb1="00000000"/>
  </w:font>
  <w:font w:name="Noto Sans CJK JP Regular">
    <w:altName w:val="Arial"/>
    <w:panose1 w:val="00000000000000000000"/>
    <w:charset w:val="00"/>
    <w:family w:val="swiss"/>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ascii="Times New Roman" w:hAnsi="Times New Roman" w:eastAsia="仿宋"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A5594"/>
    <w:multiLevelType w:val="multilevel"/>
    <w:tmpl w:val="169A5594"/>
    <w:lvl w:ilvl="0" w:tentative="0">
      <w:start w:val="1"/>
      <w:numFmt w:val="decimal"/>
      <w:pStyle w:val="2"/>
      <w:isLgl/>
      <w:suff w:val="space"/>
      <w:lvlText w:val="%1"/>
      <w:lvlJc w:val="left"/>
      <w:pPr>
        <w:ind w:left="425" w:hanging="425"/>
      </w:pPr>
      <w:rPr>
        <w:rFonts w:hint="default" w:ascii="Times New Roman" w:hAnsi="Times New Roman" w:eastAsia="仿宋"/>
        <w:b/>
        <w:i w:val="0"/>
        <w:sz w:val="36"/>
      </w:rPr>
    </w:lvl>
    <w:lvl w:ilvl="1" w:tentative="0">
      <w:start w:val="1"/>
      <w:numFmt w:val="decimal"/>
      <w:pStyle w:val="3"/>
      <w:suff w:val="space"/>
      <w:lvlText w:val="%1.%2"/>
      <w:lvlJc w:val="left"/>
      <w:pPr>
        <w:ind w:left="1202" w:hanging="567"/>
      </w:pPr>
      <w:rPr>
        <w:rFonts w:hint="eastAsia"/>
      </w:rPr>
    </w:lvl>
    <w:lvl w:ilvl="2" w:tentative="0">
      <w:start w:val="1"/>
      <w:numFmt w:val="decimal"/>
      <w:pStyle w:val="4"/>
      <w:isLgl/>
      <w:suff w:val="space"/>
      <w:lvlText w:val="%1.%2.%3"/>
      <w:lvlJc w:val="left"/>
      <w:pPr>
        <w:ind w:left="1418" w:hanging="567"/>
      </w:pPr>
      <w:rPr>
        <w:rFonts w:hint="eastAsia"/>
      </w:rPr>
    </w:lvl>
    <w:lvl w:ilvl="3" w:tentative="0">
      <w:start w:val="1"/>
      <w:numFmt w:val="decimal"/>
      <w:pStyle w:val="5"/>
      <w:isLgl/>
      <w:suff w:val="space"/>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24629619"/>
    <w:multiLevelType w:val="singleLevel"/>
    <w:tmpl w:val="2462961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jY2I2NWE2MjhhMmI0M2Q5MDE4MzAxZGFmMDY4ZGYifQ=="/>
  </w:docVars>
  <w:rsids>
    <w:rsidRoot w:val="00E26FD2"/>
    <w:rsid w:val="0000014C"/>
    <w:rsid w:val="00012761"/>
    <w:rsid w:val="0001665B"/>
    <w:rsid w:val="0004770A"/>
    <w:rsid w:val="000B1896"/>
    <w:rsid w:val="000B52E9"/>
    <w:rsid w:val="000C1738"/>
    <w:rsid w:val="000C56F6"/>
    <w:rsid w:val="000C75BF"/>
    <w:rsid w:val="000D0847"/>
    <w:rsid w:val="000E4C55"/>
    <w:rsid w:val="00105862"/>
    <w:rsid w:val="001104B5"/>
    <w:rsid w:val="00126C89"/>
    <w:rsid w:val="00136BE6"/>
    <w:rsid w:val="00151153"/>
    <w:rsid w:val="001573F5"/>
    <w:rsid w:val="00176361"/>
    <w:rsid w:val="0019564F"/>
    <w:rsid w:val="001A76E5"/>
    <w:rsid w:val="001A7A58"/>
    <w:rsid w:val="001B5A00"/>
    <w:rsid w:val="001B6F14"/>
    <w:rsid w:val="001C02EE"/>
    <w:rsid w:val="001E63A0"/>
    <w:rsid w:val="002005C2"/>
    <w:rsid w:val="00220B3E"/>
    <w:rsid w:val="00224CAA"/>
    <w:rsid w:val="002357E4"/>
    <w:rsid w:val="002447CE"/>
    <w:rsid w:val="00244B3D"/>
    <w:rsid w:val="002471DD"/>
    <w:rsid w:val="00250C70"/>
    <w:rsid w:val="00252484"/>
    <w:rsid w:val="0026113A"/>
    <w:rsid w:val="0026411F"/>
    <w:rsid w:val="00281D00"/>
    <w:rsid w:val="002831DC"/>
    <w:rsid w:val="00292D71"/>
    <w:rsid w:val="0029396E"/>
    <w:rsid w:val="00296A1D"/>
    <w:rsid w:val="002978C5"/>
    <w:rsid w:val="002C5589"/>
    <w:rsid w:val="002C72AE"/>
    <w:rsid w:val="002D3F56"/>
    <w:rsid w:val="002E4630"/>
    <w:rsid w:val="002E4B90"/>
    <w:rsid w:val="00317F1A"/>
    <w:rsid w:val="003215AC"/>
    <w:rsid w:val="003317BC"/>
    <w:rsid w:val="003474B4"/>
    <w:rsid w:val="00365631"/>
    <w:rsid w:val="003661D5"/>
    <w:rsid w:val="0037188E"/>
    <w:rsid w:val="00374AC1"/>
    <w:rsid w:val="00374EE8"/>
    <w:rsid w:val="00377841"/>
    <w:rsid w:val="00380BDD"/>
    <w:rsid w:val="003A3A7D"/>
    <w:rsid w:val="003B341D"/>
    <w:rsid w:val="003B5974"/>
    <w:rsid w:val="003C236B"/>
    <w:rsid w:val="00400D1C"/>
    <w:rsid w:val="004147B9"/>
    <w:rsid w:val="00416A64"/>
    <w:rsid w:val="00421373"/>
    <w:rsid w:val="00421A0F"/>
    <w:rsid w:val="00435453"/>
    <w:rsid w:val="00491A29"/>
    <w:rsid w:val="004A4532"/>
    <w:rsid w:val="004D3E18"/>
    <w:rsid w:val="004F0D72"/>
    <w:rsid w:val="004F37F1"/>
    <w:rsid w:val="004F6C38"/>
    <w:rsid w:val="0050005E"/>
    <w:rsid w:val="00527129"/>
    <w:rsid w:val="005373C1"/>
    <w:rsid w:val="00544578"/>
    <w:rsid w:val="00567CD3"/>
    <w:rsid w:val="00575A3A"/>
    <w:rsid w:val="005832C2"/>
    <w:rsid w:val="00586A1A"/>
    <w:rsid w:val="00600032"/>
    <w:rsid w:val="0067087F"/>
    <w:rsid w:val="006810A1"/>
    <w:rsid w:val="00684173"/>
    <w:rsid w:val="00697DC6"/>
    <w:rsid w:val="006B3BAB"/>
    <w:rsid w:val="006B68B5"/>
    <w:rsid w:val="007235AE"/>
    <w:rsid w:val="00726872"/>
    <w:rsid w:val="00737398"/>
    <w:rsid w:val="007A2AF1"/>
    <w:rsid w:val="007A31D8"/>
    <w:rsid w:val="007A4C58"/>
    <w:rsid w:val="007B4AD3"/>
    <w:rsid w:val="007C0622"/>
    <w:rsid w:val="007C087A"/>
    <w:rsid w:val="007C716E"/>
    <w:rsid w:val="007E0F1A"/>
    <w:rsid w:val="007E5FE3"/>
    <w:rsid w:val="007F69EF"/>
    <w:rsid w:val="008001EF"/>
    <w:rsid w:val="0082394F"/>
    <w:rsid w:val="00827969"/>
    <w:rsid w:val="00827FE7"/>
    <w:rsid w:val="00832651"/>
    <w:rsid w:val="008458C4"/>
    <w:rsid w:val="0086558C"/>
    <w:rsid w:val="00867DA1"/>
    <w:rsid w:val="00875B1D"/>
    <w:rsid w:val="008841C6"/>
    <w:rsid w:val="008A369F"/>
    <w:rsid w:val="008A49D9"/>
    <w:rsid w:val="008A72C1"/>
    <w:rsid w:val="008B0750"/>
    <w:rsid w:val="008C0653"/>
    <w:rsid w:val="008D36EB"/>
    <w:rsid w:val="008E10DF"/>
    <w:rsid w:val="008E7207"/>
    <w:rsid w:val="008F1D9D"/>
    <w:rsid w:val="00904B2A"/>
    <w:rsid w:val="00904D20"/>
    <w:rsid w:val="009079B2"/>
    <w:rsid w:val="009115ED"/>
    <w:rsid w:val="0094241A"/>
    <w:rsid w:val="00951FB5"/>
    <w:rsid w:val="00955164"/>
    <w:rsid w:val="009572A6"/>
    <w:rsid w:val="00957ACE"/>
    <w:rsid w:val="00962F53"/>
    <w:rsid w:val="009635EE"/>
    <w:rsid w:val="009677D5"/>
    <w:rsid w:val="00974075"/>
    <w:rsid w:val="009801FC"/>
    <w:rsid w:val="00982562"/>
    <w:rsid w:val="009B0344"/>
    <w:rsid w:val="009C1E41"/>
    <w:rsid w:val="009C4B8C"/>
    <w:rsid w:val="009F2516"/>
    <w:rsid w:val="009F44F0"/>
    <w:rsid w:val="009F47AF"/>
    <w:rsid w:val="00A07E34"/>
    <w:rsid w:val="00A11D78"/>
    <w:rsid w:val="00A324B9"/>
    <w:rsid w:val="00A343B2"/>
    <w:rsid w:val="00A71549"/>
    <w:rsid w:val="00A730AB"/>
    <w:rsid w:val="00A74412"/>
    <w:rsid w:val="00A846CA"/>
    <w:rsid w:val="00AB6FCA"/>
    <w:rsid w:val="00AD1B96"/>
    <w:rsid w:val="00AD29A8"/>
    <w:rsid w:val="00AD4084"/>
    <w:rsid w:val="00AE0FF7"/>
    <w:rsid w:val="00AE2E45"/>
    <w:rsid w:val="00AF0E1A"/>
    <w:rsid w:val="00B0697B"/>
    <w:rsid w:val="00B214F4"/>
    <w:rsid w:val="00B46702"/>
    <w:rsid w:val="00B47143"/>
    <w:rsid w:val="00B54D5E"/>
    <w:rsid w:val="00B7290C"/>
    <w:rsid w:val="00B72AB9"/>
    <w:rsid w:val="00B86453"/>
    <w:rsid w:val="00B91A01"/>
    <w:rsid w:val="00B95062"/>
    <w:rsid w:val="00B95B47"/>
    <w:rsid w:val="00BB7364"/>
    <w:rsid w:val="00BD1A86"/>
    <w:rsid w:val="00BD34E4"/>
    <w:rsid w:val="00BE70E2"/>
    <w:rsid w:val="00BF4025"/>
    <w:rsid w:val="00BF6AC4"/>
    <w:rsid w:val="00C001F2"/>
    <w:rsid w:val="00C1301E"/>
    <w:rsid w:val="00C45A6B"/>
    <w:rsid w:val="00C51FFB"/>
    <w:rsid w:val="00C83CE7"/>
    <w:rsid w:val="00C91523"/>
    <w:rsid w:val="00CB26BC"/>
    <w:rsid w:val="00CC5793"/>
    <w:rsid w:val="00CE66BB"/>
    <w:rsid w:val="00CF3182"/>
    <w:rsid w:val="00CF63E6"/>
    <w:rsid w:val="00D0333E"/>
    <w:rsid w:val="00D25309"/>
    <w:rsid w:val="00D4741B"/>
    <w:rsid w:val="00D50669"/>
    <w:rsid w:val="00D57ADD"/>
    <w:rsid w:val="00D62B2C"/>
    <w:rsid w:val="00D86FF8"/>
    <w:rsid w:val="00DA057E"/>
    <w:rsid w:val="00DC2A3D"/>
    <w:rsid w:val="00DD34AB"/>
    <w:rsid w:val="00DE4ECB"/>
    <w:rsid w:val="00E0452A"/>
    <w:rsid w:val="00E0589E"/>
    <w:rsid w:val="00E26FD2"/>
    <w:rsid w:val="00E33249"/>
    <w:rsid w:val="00E51111"/>
    <w:rsid w:val="00E57404"/>
    <w:rsid w:val="00E57D38"/>
    <w:rsid w:val="00E66E65"/>
    <w:rsid w:val="00E72E3A"/>
    <w:rsid w:val="00E77478"/>
    <w:rsid w:val="00E83AA4"/>
    <w:rsid w:val="00E90042"/>
    <w:rsid w:val="00E922EA"/>
    <w:rsid w:val="00EA15DB"/>
    <w:rsid w:val="00EC1E27"/>
    <w:rsid w:val="00EC3DA0"/>
    <w:rsid w:val="00ED61BE"/>
    <w:rsid w:val="00EF4D9D"/>
    <w:rsid w:val="00F12C04"/>
    <w:rsid w:val="00F16A8E"/>
    <w:rsid w:val="00F2564E"/>
    <w:rsid w:val="00F31983"/>
    <w:rsid w:val="00F402E5"/>
    <w:rsid w:val="00F56116"/>
    <w:rsid w:val="00F56387"/>
    <w:rsid w:val="00F701BA"/>
    <w:rsid w:val="00FE3A83"/>
    <w:rsid w:val="00FF531F"/>
    <w:rsid w:val="01782E3F"/>
    <w:rsid w:val="01C354D0"/>
    <w:rsid w:val="02685C0C"/>
    <w:rsid w:val="028D29DE"/>
    <w:rsid w:val="0295339E"/>
    <w:rsid w:val="030D699C"/>
    <w:rsid w:val="035E7099"/>
    <w:rsid w:val="049B2C8F"/>
    <w:rsid w:val="05201E1C"/>
    <w:rsid w:val="056048F0"/>
    <w:rsid w:val="06320516"/>
    <w:rsid w:val="066E1617"/>
    <w:rsid w:val="07230354"/>
    <w:rsid w:val="072E20EC"/>
    <w:rsid w:val="07381961"/>
    <w:rsid w:val="07433A20"/>
    <w:rsid w:val="079F0802"/>
    <w:rsid w:val="07E625F3"/>
    <w:rsid w:val="080179A5"/>
    <w:rsid w:val="081475D2"/>
    <w:rsid w:val="08476976"/>
    <w:rsid w:val="08A92912"/>
    <w:rsid w:val="0983334A"/>
    <w:rsid w:val="09AD5E9B"/>
    <w:rsid w:val="09C67501"/>
    <w:rsid w:val="0A355951"/>
    <w:rsid w:val="0ABC4D21"/>
    <w:rsid w:val="0B4F3CD2"/>
    <w:rsid w:val="0BB63DE2"/>
    <w:rsid w:val="0BCA2B8C"/>
    <w:rsid w:val="0C0A15FE"/>
    <w:rsid w:val="0C360CC1"/>
    <w:rsid w:val="0CA86DD5"/>
    <w:rsid w:val="0DDB5071"/>
    <w:rsid w:val="0E0B1A6A"/>
    <w:rsid w:val="0E522F07"/>
    <w:rsid w:val="0E956C3C"/>
    <w:rsid w:val="0E96143D"/>
    <w:rsid w:val="0F592566"/>
    <w:rsid w:val="11C642DA"/>
    <w:rsid w:val="11EF30AF"/>
    <w:rsid w:val="12630798"/>
    <w:rsid w:val="127F283A"/>
    <w:rsid w:val="12CE4A19"/>
    <w:rsid w:val="145C6F32"/>
    <w:rsid w:val="1518196D"/>
    <w:rsid w:val="162B00EC"/>
    <w:rsid w:val="16BD0ECC"/>
    <w:rsid w:val="17047E69"/>
    <w:rsid w:val="18102F8C"/>
    <w:rsid w:val="18B7067D"/>
    <w:rsid w:val="196F7C0F"/>
    <w:rsid w:val="1A747C83"/>
    <w:rsid w:val="1AF11939"/>
    <w:rsid w:val="1B9A4D4C"/>
    <w:rsid w:val="1BD97343"/>
    <w:rsid w:val="1C04767F"/>
    <w:rsid w:val="1CCA7444"/>
    <w:rsid w:val="1EFF0832"/>
    <w:rsid w:val="1F14238A"/>
    <w:rsid w:val="1FDA391F"/>
    <w:rsid w:val="20305ECA"/>
    <w:rsid w:val="20713034"/>
    <w:rsid w:val="20D36E9B"/>
    <w:rsid w:val="21E36C10"/>
    <w:rsid w:val="22C473DD"/>
    <w:rsid w:val="236334AB"/>
    <w:rsid w:val="23A77510"/>
    <w:rsid w:val="243E45C7"/>
    <w:rsid w:val="243E4E65"/>
    <w:rsid w:val="26063A10"/>
    <w:rsid w:val="26155848"/>
    <w:rsid w:val="277D4441"/>
    <w:rsid w:val="278774FE"/>
    <w:rsid w:val="27EC54D2"/>
    <w:rsid w:val="28ED067E"/>
    <w:rsid w:val="293C7B5D"/>
    <w:rsid w:val="29F21877"/>
    <w:rsid w:val="2A143B89"/>
    <w:rsid w:val="2A244AD4"/>
    <w:rsid w:val="2A9F1252"/>
    <w:rsid w:val="2BBF116E"/>
    <w:rsid w:val="2C094E4B"/>
    <w:rsid w:val="2C2B077C"/>
    <w:rsid w:val="2C3F4B1F"/>
    <w:rsid w:val="2D0D233F"/>
    <w:rsid w:val="2D1F08A7"/>
    <w:rsid w:val="2DEA33DE"/>
    <w:rsid w:val="2DF6345C"/>
    <w:rsid w:val="2E700340"/>
    <w:rsid w:val="2ED470E4"/>
    <w:rsid w:val="2EDF6C92"/>
    <w:rsid w:val="2FA87EF5"/>
    <w:rsid w:val="2FF41FDE"/>
    <w:rsid w:val="302A6D3C"/>
    <w:rsid w:val="30422903"/>
    <w:rsid w:val="31905D36"/>
    <w:rsid w:val="31D60CD9"/>
    <w:rsid w:val="32845CC6"/>
    <w:rsid w:val="330C763F"/>
    <w:rsid w:val="339C5EED"/>
    <w:rsid w:val="34601203"/>
    <w:rsid w:val="349601AF"/>
    <w:rsid w:val="35EC2B09"/>
    <w:rsid w:val="36D82C97"/>
    <w:rsid w:val="372F17CF"/>
    <w:rsid w:val="37FB045F"/>
    <w:rsid w:val="39DD425B"/>
    <w:rsid w:val="3A2B24A5"/>
    <w:rsid w:val="3AA04337"/>
    <w:rsid w:val="3B08555C"/>
    <w:rsid w:val="3B8572F5"/>
    <w:rsid w:val="3C0D4C3B"/>
    <w:rsid w:val="3C957D6A"/>
    <w:rsid w:val="3D657FE7"/>
    <w:rsid w:val="3E506245"/>
    <w:rsid w:val="3E620182"/>
    <w:rsid w:val="3F186AE7"/>
    <w:rsid w:val="3FF129D1"/>
    <w:rsid w:val="3FFD1E71"/>
    <w:rsid w:val="40DD07E2"/>
    <w:rsid w:val="43246EEB"/>
    <w:rsid w:val="436730C7"/>
    <w:rsid w:val="43E93C6F"/>
    <w:rsid w:val="44404CBC"/>
    <w:rsid w:val="449C6D1B"/>
    <w:rsid w:val="45592BB7"/>
    <w:rsid w:val="458D59E6"/>
    <w:rsid w:val="45961CBE"/>
    <w:rsid w:val="4610209D"/>
    <w:rsid w:val="46A82847"/>
    <w:rsid w:val="46D22C21"/>
    <w:rsid w:val="46E1430B"/>
    <w:rsid w:val="46F2591B"/>
    <w:rsid w:val="48C02458"/>
    <w:rsid w:val="49453244"/>
    <w:rsid w:val="49634005"/>
    <w:rsid w:val="49E22F84"/>
    <w:rsid w:val="4A660C0E"/>
    <w:rsid w:val="4BEF76BA"/>
    <w:rsid w:val="4D1934D5"/>
    <w:rsid w:val="4D7A6309"/>
    <w:rsid w:val="4E2871D9"/>
    <w:rsid w:val="4E3C4EF0"/>
    <w:rsid w:val="4E9C381F"/>
    <w:rsid w:val="4EB60169"/>
    <w:rsid w:val="50E64CCC"/>
    <w:rsid w:val="514864FE"/>
    <w:rsid w:val="516867E6"/>
    <w:rsid w:val="51816810"/>
    <w:rsid w:val="525B28BD"/>
    <w:rsid w:val="52F85B17"/>
    <w:rsid w:val="530A7304"/>
    <w:rsid w:val="546E0042"/>
    <w:rsid w:val="553E1482"/>
    <w:rsid w:val="55B80D63"/>
    <w:rsid w:val="55D6208A"/>
    <w:rsid w:val="55D738CE"/>
    <w:rsid w:val="56AA05A9"/>
    <w:rsid w:val="56B408AD"/>
    <w:rsid w:val="56CE03EC"/>
    <w:rsid w:val="58A0651C"/>
    <w:rsid w:val="59E14B5D"/>
    <w:rsid w:val="5A8E2EAB"/>
    <w:rsid w:val="5A9573BE"/>
    <w:rsid w:val="5BAC65DC"/>
    <w:rsid w:val="5BDE696C"/>
    <w:rsid w:val="5BE234B9"/>
    <w:rsid w:val="5CAC6CA8"/>
    <w:rsid w:val="5CE11588"/>
    <w:rsid w:val="5D0B4532"/>
    <w:rsid w:val="5DC45FDB"/>
    <w:rsid w:val="5E7802BC"/>
    <w:rsid w:val="5FD85776"/>
    <w:rsid w:val="5FE9298A"/>
    <w:rsid w:val="60761C8C"/>
    <w:rsid w:val="60C1781A"/>
    <w:rsid w:val="60C555DF"/>
    <w:rsid w:val="60EF2B26"/>
    <w:rsid w:val="61C24711"/>
    <w:rsid w:val="628C7BB7"/>
    <w:rsid w:val="62C650C0"/>
    <w:rsid w:val="63A8094C"/>
    <w:rsid w:val="6404640C"/>
    <w:rsid w:val="641167FE"/>
    <w:rsid w:val="643202F0"/>
    <w:rsid w:val="64423274"/>
    <w:rsid w:val="64AE320D"/>
    <w:rsid w:val="65982FB5"/>
    <w:rsid w:val="66770B52"/>
    <w:rsid w:val="67BD092C"/>
    <w:rsid w:val="67D24DA4"/>
    <w:rsid w:val="68067061"/>
    <w:rsid w:val="682E7610"/>
    <w:rsid w:val="6838231D"/>
    <w:rsid w:val="688B0A2A"/>
    <w:rsid w:val="68C34842"/>
    <w:rsid w:val="68F7691F"/>
    <w:rsid w:val="695214E1"/>
    <w:rsid w:val="6D2B157E"/>
    <w:rsid w:val="6DA34120"/>
    <w:rsid w:val="6EA04C1D"/>
    <w:rsid w:val="6ED515E9"/>
    <w:rsid w:val="6FAC2386"/>
    <w:rsid w:val="6FE95C1F"/>
    <w:rsid w:val="70CB643E"/>
    <w:rsid w:val="71C167C1"/>
    <w:rsid w:val="7302380B"/>
    <w:rsid w:val="739527E9"/>
    <w:rsid w:val="73A21E3B"/>
    <w:rsid w:val="73A67EFF"/>
    <w:rsid w:val="745918DB"/>
    <w:rsid w:val="74F5794D"/>
    <w:rsid w:val="75DF41C1"/>
    <w:rsid w:val="77883CC0"/>
    <w:rsid w:val="791715B8"/>
    <w:rsid w:val="79595558"/>
    <w:rsid w:val="796C3831"/>
    <w:rsid w:val="79860566"/>
    <w:rsid w:val="79B24069"/>
    <w:rsid w:val="7A0E4B8D"/>
    <w:rsid w:val="7B7C0574"/>
    <w:rsid w:val="7BB0754F"/>
    <w:rsid w:val="7D7436A4"/>
    <w:rsid w:val="7DC37879"/>
    <w:rsid w:val="7E1A06B1"/>
    <w:rsid w:val="7F592775"/>
    <w:rsid w:val="7F8F4ADE"/>
    <w:rsid w:val="7FF73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4"/>
    <w:autoRedefine/>
    <w:qFormat/>
    <w:uiPriority w:val="0"/>
    <w:pPr>
      <w:keepNext/>
      <w:keepLines/>
      <w:numPr>
        <w:ilvl w:val="0"/>
        <w:numId w:val="1"/>
      </w:numPr>
      <w:spacing w:before="50" w:beforeLines="50" w:after="50" w:afterLines="50" w:line="500" w:lineRule="exact"/>
      <w:contextualSpacing/>
      <w:outlineLvl w:val="0"/>
    </w:pPr>
    <w:rPr>
      <w:rFonts w:ascii="Times New Roman" w:hAnsi="Times New Roman" w:eastAsia="仿宋"/>
      <w:b/>
      <w:bCs/>
      <w:kern w:val="44"/>
      <w:sz w:val="36"/>
      <w:szCs w:val="44"/>
    </w:rPr>
  </w:style>
  <w:style w:type="paragraph" w:styleId="3">
    <w:name w:val="heading 2"/>
    <w:basedOn w:val="1"/>
    <w:next w:val="1"/>
    <w:link w:val="45"/>
    <w:autoRedefine/>
    <w:unhideWhenUsed/>
    <w:qFormat/>
    <w:uiPriority w:val="0"/>
    <w:pPr>
      <w:keepNext/>
      <w:keepLines/>
      <w:numPr>
        <w:ilvl w:val="1"/>
        <w:numId w:val="1"/>
      </w:numPr>
      <w:spacing w:before="50" w:beforeLines="50" w:after="50" w:afterLines="50" w:line="500" w:lineRule="exact"/>
      <w:ind w:left="0" w:firstLine="0"/>
      <w:contextualSpacing/>
      <w:outlineLvl w:val="1"/>
    </w:pPr>
    <w:rPr>
      <w:rFonts w:ascii="Times New Roman" w:hAnsi="Times New Roman" w:eastAsia="仿宋" w:cstheme="majorBidi"/>
      <w:b/>
      <w:bCs/>
      <w:sz w:val="32"/>
      <w:szCs w:val="32"/>
    </w:rPr>
  </w:style>
  <w:style w:type="paragraph" w:styleId="4">
    <w:name w:val="heading 3"/>
    <w:basedOn w:val="1"/>
    <w:next w:val="1"/>
    <w:link w:val="46"/>
    <w:autoRedefine/>
    <w:unhideWhenUsed/>
    <w:qFormat/>
    <w:uiPriority w:val="0"/>
    <w:pPr>
      <w:keepNext/>
      <w:keepLines/>
      <w:numPr>
        <w:ilvl w:val="2"/>
        <w:numId w:val="1"/>
      </w:numPr>
      <w:spacing w:line="500" w:lineRule="exact"/>
      <w:ind w:left="0" w:firstLine="0"/>
      <w:contextualSpacing/>
      <w:outlineLvl w:val="2"/>
    </w:pPr>
    <w:rPr>
      <w:rFonts w:ascii="Times New Roman" w:hAnsi="Times New Roman" w:eastAsia="仿宋"/>
      <w:b/>
      <w:bCs/>
      <w:sz w:val="28"/>
      <w:szCs w:val="32"/>
    </w:rPr>
  </w:style>
  <w:style w:type="paragraph" w:styleId="5">
    <w:name w:val="heading 4"/>
    <w:basedOn w:val="1"/>
    <w:next w:val="1"/>
    <w:link w:val="47"/>
    <w:autoRedefine/>
    <w:unhideWhenUsed/>
    <w:qFormat/>
    <w:uiPriority w:val="0"/>
    <w:pPr>
      <w:keepNext/>
      <w:keepLines/>
      <w:numPr>
        <w:ilvl w:val="3"/>
        <w:numId w:val="1"/>
      </w:numPr>
      <w:spacing w:line="500" w:lineRule="exact"/>
      <w:ind w:left="0" w:firstLine="0"/>
      <w:contextualSpacing/>
      <w:outlineLvl w:val="3"/>
    </w:pPr>
    <w:rPr>
      <w:rFonts w:ascii="Times New Roman" w:hAnsi="Times New Roman" w:eastAsia="仿宋" w:cstheme="majorBidi"/>
      <w:b/>
      <w:bCs/>
      <w:sz w:val="28"/>
      <w:szCs w:val="28"/>
    </w:rPr>
  </w:style>
  <w:style w:type="paragraph" w:styleId="6">
    <w:name w:val="heading 5"/>
    <w:basedOn w:val="1"/>
    <w:next w:val="1"/>
    <w:link w:val="48"/>
    <w:autoRedefine/>
    <w:unhideWhenUsed/>
    <w:qFormat/>
    <w:uiPriority w:val="0"/>
    <w:pPr>
      <w:keepNext/>
      <w:keepLines/>
      <w:spacing w:line="500" w:lineRule="exact"/>
      <w:ind w:firstLine="200" w:firstLineChars="200"/>
      <w:contextualSpacing/>
      <w:outlineLvl w:val="4"/>
    </w:pPr>
    <w:rPr>
      <w:rFonts w:ascii="Times New Roman" w:hAnsi="Times New Roman" w:eastAsia="仿宋"/>
      <w:b/>
      <w:bCs/>
      <w:sz w:val="28"/>
      <w:szCs w:val="28"/>
    </w:rPr>
  </w:style>
  <w:style w:type="paragraph" w:styleId="7">
    <w:name w:val="heading 9"/>
    <w:basedOn w:val="1"/>
    <w:next w:val="8"/>
    <w:link w:val="57"/>
    <w:autoRedefine/>
    <w:qFormat/>
    <w:uiPriority w:val="0"/>
    <w:pPr>
      <w:keepNext/>
      <w:keepLines/>
      <w:tabs>
        <w:tab w:val="left" w:pos="1080"/>
      </w:tabs>
      <w:adjustRightInd w:val="0"/>
      <w:snapToGrid w:val="0"/>
      <w:spacing w:line="319" w:lineRule="auto"/>
      <w:ind w:left="1080" w:hanging="360"/>
      <w:outlineLvl w:val="8"/>
    </w:pPr>
    <w:rPr>
      <w:rFonts w:ascii="Arial" w:hAnsi="Arial" w:eastAsia="黑体" w:cs="Times New Roman"/>
      <w:sz w:val="24"/>
      <w:szCs w:val="20"/>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link w:val="85"/>
    <w:autoRedefine/>
    <w:unhideWhenUsed/>
    <w:qFormat/>
    <w:uiPriority w:val="0"/>
    <w:pPr>
      <w:adjustRightInd w:val="0"/>
      <w:snapToGrid w:val="0"/>
      <w:ind w:firstLine="420" w:firstLineChars="200"/>
    </w:pPr>
    <w:rPr>
      <w:rFonts w:eastAsia="华文仿宋"/>
      <w:sz w:val="28"/>
    </w:rPr>
  </w:style>
  <w:style w:type="paragraph" w:styleId="9">
    <w:name w:val="toc 7"/>
    <w:basedOn w:val="1"/>
    <w:next w:val="1"/>
    <w:autoRedefine/>
    <w:unhideWhenUsed/>
    <w:qFormat/>
    <w:uiPriority w:val="0"/>
    <w:pPr>
      <w:ind w:left="1260"/>
      <w:jc w:val="left"/>
    </w:pPr>
    <w:rPr>
      <w:rFonts w:eastAsiaTheme="minorHAnsi"/>
      <w:sz w:val="18"/>
      <w:szCs w:val="18"/>
    </w:rPr>
  </w:style>
  <w:style w:type="paragraph" w:styleId="10">
    <w:name w:val="caption"/>
    <w:basedOn w:val="1"/>
    <w:next w:val="1"/>
    <w:autoRedefine/>
    <w:qFormat/>
    <w:uiPriority w:val="0"/>
    <w:pPr>
      <w:snapToGrid w:val="0"/>
      <w:ind w:firstLine="200" w:firstLineChars="200"/>
    </w:pPr>
    <w:rPr>
      <w:rFonts w:ascii="Calibri Light" w:hAnsi="Calibri Light" w:eastAsia="黑体" w:cs="Times New Roman"/>
      <w:sz w:val="20"/>
      <w:szCs w:val="20"/>
    </w:rPr>
  </w:style>
  <w:style w:type="paragraph" w:styleId="11">
    <w:name w:val="Document Map"/>
    <w:basedOn w:val="1"/>
    <w:link w:val="94"/>
    <w:autoRedefine/>
    <w:semiHidden/>
    <w:qFormat/>
    <w:uiPriority w:val="0"/>
    <w:pPr>
      <w:shd w:val="clear" w:color="auto" w:fill="000080"/>
      <w:adjustRightInd w:val="0"/>
      <w:snapToGrid w:val="0"/>
      <w:ind w:firstLine="200" w:firstLineChars="200"/>
    </w:pPr>
    <w:rPr>
      <w:rFonts w:ascii="Times New Roman" w:hAnsi="Times New Roman" w:eastAsia="华文仿宋" w:cs="Times New Roman"/>
      <w:sz w:val="28"/>
    </w:rPr>
  </w:style>
  <w:style w:type="paragraph" w:styleId="12">
    <w:name w:val="annotation text"/>
    <w:basedOn w:val="1"/>
    <w:link w:val="53"/>
    <w:autoRedefine/>
    <w:unhideWhenUsed/>
    <w:qFormat/>
    <w:uiPriority w:val="0"/>
    <w:pPr>
      <w:jc w:val="left"/>
    </w:pPr>
  </w:style>
  <w:style w:type="paragraph" w:styleId="13">
    <w:name w:val="Body Text"/>
    <w:basedOn w:val="1"/>
    <w:next w:val="1"/>
    <w:link w:val="52"/>
    <w:autoRedefine/>
    <w:qFormat/>
    <w:uiPriority w:val="0"/>
    <w:pPr>
      <w:spacing w:after="120"/>
    </w:pPr>
    <w:rPr>
      <w:rFonts w:ascii="Times New Roman" w:hAnsi="Times New Roman" w:eastAsia="宋体" w:cs="Times New Roman"/>
      <w:szCs w:val="24"/>
      <w:lang w:val="zh-CN"/>
    </w:rPr>
  </w:style>
  <w:style w:type="paragraph" w:styleId="14">
    <w:name w:val="Body Text Indent"/>
    <w:autoRedefine/>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15">
    <w:name w:val="toc 5"/>
    <w:basedOn w:val="1"/>
    <w:next w:val="1"/>
    <w:autoRedefine/>
    <w:unhideWhenUsed/>
    <w:qFormat/>
    <w:uiPriority w:val="0"/>
    <w:pPr>
      <w:ind w:left="840"/>
      <w:jc w:val="left"/>
    </w:pPr>
    <w:rPr>
      <w:rFonts w:eastAsiaTheme="minorHAnsi"/>
      <w:sz w:val="18"/>
      <w:szCs w:val="18"/>
    </w:rPr>
  </w:style>
  <w:style w:type="paragraph" w:styleId="16">
    <w:name w:val="toc 3"/>
    <w:basedOn w:val="1"/>
    <w:next w:val="1"/>
    <w:autoRedefine/>
    <w:unhideWhenUsed/>
    <w:qFormat/>
    <w:uiPriority w:val="0"/>
    <w:pPr>
      <w:ind w:left="420"/>
      <w:jc w:val="left"/>
    </w:pPr>
    <w:rPr>
      <w:rFonts w:eastAsiaTheme="minorHAnsi"/>
      <w:i/>
      <w:iCs/>
      <w:sz w:val="20"/>
      <w:szCs w:val="20"/>
    </w:rPr>
  </w:style>
  <w:style w:type="paragraph" w:styleId="17">
    <w:name w:val="Plain Text"/>
    <w:basedOn w:val="1"/>
    <w:link w:val="81"/>
    <w:autoRedefine/>
    <w:qFormat/>
    <w:uiPriority w:val="0"/>
    <w:rPr>
      <w:rFonts w:ascii="宋体" w:hAnsi="Courier New" w:eastAsia="宋体"/>
      <w:szCs w:val="21"/>
    </w:rPr>
  </w:style>
  <w:style w:type="paragraph" w:styleId="18">
    <w:name w:val="toc 8"/>
    <w:basedOn w:val="1"/>
    <w:next w:val="1"/>
    <w:autoRedefine/>
    <w:unhideWhenUsed/>
    <w:qFormat/>
    <w:uiPriority w:val="0"/>
    <w:pPr>
      <w:ind w:left="1470"/>
      <w:jc w:val="left"/>
    </w:pPr>
    <w:rPr>
      <w:rFonts w:eastAsiaTheme="minorHAnsi"/>
      <w:sz w:val="18"/>
      <w:szCs w:val="18"/>
    </w:rPr>
  </w:style>
  <w:style w:type="paragraph" w:styleId="19">
    <w:name w:val="Date"/>
    <w:basedOn w:val="1"/>
    <w:next w:val="1"/>
    <w:link w:val="84"/>
    <w:autoRedefine/>
    <w:unhideWhenUsed/>
    <w:qFormat/>
    <w:uiPriority w:val="0"/>
    <w:pPr>
      <w:adjustRightInd w:val="0"/>
      <w:snapToGrid w:val="0"/>
      <w:ind w:left="100" w:leftChars="2500" w:firstLine="200" w:firstLineChars="200"/>
    </w:pPr>
    <w:rPr>
      <w:rFonts w:eastAsia="华文仿宋"/>
      <w:sz w:val="28"/>
    </w:rPr>
  </w:style>
  <w:style w:type="paragraph" w:styleId="20">
    <w:name w:val="Body Text Indent 2"/>
    <w:autoRedefine/>
    <w:qFormat/>
    <w:uiPriority w:val="0"/>
    <w:pPr>
      <w:widowControl w:val="0"/>
      <w:spacing w:line="640" w:lineRule="exact"/>
      <w:ind w:left="-130" w:firstLine="600"/>
      <w:jc w:val="both"/>
    </w:pPr>
    <w:rPr>
      <w:rFonts w:ascii="Calibri" w:hAnsi="Calibri" w:eastAsia="仿宋_GB2312" w:cs="Times New Roman"/>
      <w:sz w:val="30"/>
      <w:szCs w:val="24"/>
      <w:lang w:val="en-US" w:eastAsia="zh-CN" w:bidi="ar-SA"/>
    </w:rPr>
  </w:style>
  <w:style w:type="paragraph" w:styleId="21">
    <w:name w:val="Balloon Text"/>
    <w:basedOn w:val="1"/>
    <w:link w:val="66"/>
    <w:autoRedefine/>
    <w:unhideWhenUsed/>
    <w:qFormat/>
    <w:uiPriority w:val="0"/>
    <w:pPr>
      <w:snapToGrid w:val="0"/>
      <w:ind w:firstLine="200" w:firstLineChars="200"/>
    </w:pPr>
    <w:rPr>
      <w:rFonts w:eastAsia="华文仿宋"/>
      <w:sz w:val="18"/>
      <w:szCs w:val="18"/>
    </w:rPr>
  </w:style>
  <w:style w:type="paragraph" w:styleId="22">
    <w:name w:val="footer"/>
    <w:basedOn w:val="1"/>
    <w:next w:val="1"/>
    <w:link w:val="43"/>
    <w:autoRedefine/>
    <w:unhideWhenUsed/>
    <w:qFormat/>
    <w:uiPriority w:val="0"/>
    <w:pPr>
      <w:tabs>
        <w:tab w:val="center" w:pos="4153"/>
        <w:tab w:val="right" w:pos="8306"/>
      </w:tabs>
      <w:snapToGrid w:val="0"/>
      <w:jc w:val="left"/>
    </w:pPr>
    <w:rPr>
      <w:sz w:val="18"/>
      <w:szCs w:val="18"/>
    </w:rPr>
  </w:style>
  <w:style w:type="paragraph" w:styleId="23">
    <w:name w:val="header"/>
    <w:basedOn w:val="1"/>
    <w:link w:val="42"/>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unhideWhenUsed/>
    <w:qFormat/>
    <w:uiPriority w:val="39"/>
    <w:pPr>
      <w:spacing w:before="120" w:after="120"/>
      <w:jc w:val="left"/>
    </w:pPr>
    <w:rPr>
      <w:rFonts w:eastAsiaTheme="minorHAnsi"/>
      <w:b/>
      <w:bCs/>
      <w:caps/>
      <w:sz w:val="20"/>
      <w:szCs w:val="20"/>
    </w:rPr>
  </w:style>
  <w:style w:type="paragraph" w:styleId="25">
    <w:name w:val="toc 4"/>
    <w:basedOn w:val="1"/>
    <w:next w:val="1"/>
    <w:autoRedefine/>
    <w:unhideWhenUsed/>
    <w:qFormat/>
    <w:uiPriority w:val="0"/>
    <w:pPr>
      <w:ind w:left="630"/>
      <w:jc w:val="left"/>
    </w:pPr>
    <w:rPr>
      <w:rFonts w:eastAsiaTheme="minorHAnsi"/>
      <w:sz w:val="18"/>
      <w:szCs w:val="18"/>
    </w:rPr>
  </w:style>
  <w:style w:type="paragraph" w:styleId="26">
    <w:name w:val="toc 6"/>
    <w:basedOn w:val="1"/>
    <w:next w:val="1"/>
    <w:autoRedefine/>
    <w:unhideWhenUsed/>
    <w:qFormat/>
    <w:uiPriority w:val="0"/>
    <w:pPr>
      <w:ind w:left="1050"/>
      <w:jc w:val="left"/>
    </w:pPr>
    <w:rPr>
      <w:rFonts w:eastAsiaTheme="minorHAnsi"/>
      <w:sz w:val="18"/>
      <w:szCs w:val="18"/>
    </w:rPr>
  </w:style>
  <w:style w:type="paragraph" w:styleId="27">
    <w:name w:val="toc 2"/>
    <w:basedOn w:val="1"/>
    <w:next w:val="1"/>
    <w:autoRedefine/>
    <w:unhideWhenUsed/>
    <w:qFormat/>
    <w:uiPriority w:val="39"/>
    <w:pPr>
      <w:ind w:left="210"/>
      <w:jc w:val="left"/>
    </w:pPr>
    <w:rPr>
      <w:rFonts w:eastAsiaTheme="minorHAnsi"/>
      <w:smallCaps/>
      <w:sz w:val="20"/>
      <w:szCs w:val="20"/>
    </w:rPr>
  </w:style>
  <w:style w:type="paragraph" w:styleId="28">
    <w:name w:val="toc 9"/>
    <w:basedOn w:val="1"/>
    <w:next w:val="1"/>
    <w:autoRedefine/>
    <w:unhideWhenUsed/>
    <w:qFormat/>
    <w:uiPriority w:val="0"/>
    <w:pPr>
      <w:ind w:left="1680"/>
      <w:jc w:val="left"/>
    </w:pPr>
    <w:rPr>
      <w:rFonts w:eastAsiaTheme="minorHAnsi"/>
      <w:sz w:val="18"/>
      <w:szCs w:val="18"/>
    </w:rPr>
  </w:style>
  <w:style w:type="paragraph" w:styleId="29">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0">
    <w:name w:val="Title"/>
    <w:basedOn w:val="1"/>
    <w:next w:val="1"/>
    <w:link w:val="83"/>
    <w:autoRedefine/>
    <w:qFormat/>
    <w:uiPriority w:val="0"/>
    <w:pPr>
      <w:adjustRightInd w:val="0"/>
      <w:snapToGrid w:val="0"/>
      <w:spacing w:before="240" w:after="60"/>
      <w:ind w:firstLine="200" w:firstLineChars="200"/>
      <w:jc w:val="center"/>
      <w:outlineLvl w:val="0"/>
    </w:pPr>
    <w:rPr>
      <w:rFonts w:ascii="Cambria" w:hAnsi="Cambria" w:eastAsia="宋体"/>
      <w:b/>
      <w:bCs/>
      <w:sz w:val="32"/>
      <w:szCs w:val="32"/>
    </w:rPr>
  </w:style>
  <w:style w:type="paragraph" w:styleId="31">
    <w:name w:val="annotation subject"/>
    <w:basedOn w:val="12"/>
    <w:next w:val="12"/>
    <w:link w:val="54"/>
    <w:autoRedefine/>
    <w:unhideWhenUsed/>
    <w:qFormat/>
    <w:uiPriority w:val="0"/>
    <w:rPr>
      <w:b/>
      <w:bCs/>
    </w:rPr>
  </w:style>
  <w:style w:type="paragraph" w:styleId="32">
    <w:name w:val="Body Text First Indent 2"/>
    <w:next w:val="1"/>
    <w:autoRedefine/>
    <w:qFormat/>
    <w:uiPriority w:val="0"/>
    <w:pPr>
      <w:ind w:firstLine="420" w:firstLineChars="200"/>
    </w:pPr>
    <w:rPr>
      <w:rFonts w:ascii="Times New Roman" w:hAnsi="Times New Roman" w:eastAsia="宋体" w:cs="Times New Roman"/>
      <w:kern w:val="2"/>
      <w:sz w:val="24"/>
      <w:szCs w:val="24"/>
      <w:lang w:val="en-US" w:eastAsia="zh-CN" w:bidi="ar-SA"/>
    </w:rPr>
  </w:style>
  <w:style w:type="table" w:styleId="34">
    <w:name w:val="Table Grid"/>
    <w:basedOn w:val="3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Emphasis"/>
    <w:autoRedefine/>
    <w:qFormat/>
    <w:uiPriority w:val="0"/>
    <w:rPr>
      <w:i/>
      <w:iCs/>
    </w:rPr>
  </w:style>
  <w:style w:type="character" w:styleId="37">
    <w:name w:val="Hyperlink"/>
    <w:autoRedefine/>
    <w:unhideWhenUsed/>
    <w:qFormat/>
    <w:uiPriority w:val="99"/>
    <w:rPr>
      <w:color w:val="0563C1"/>
      <w:u w:val="single"/>
    </w:rPr>
  </w:style>
  <w:style w:type="character" w:styleId="38">
    <w:name w:val="annotation reference"/>
    <w:basedOn w:val="35"/>
    <w:autoRedefine/>
    <w:unhideWhenUsed/>
    <w:qFormat/>
    <w:uiPriority w:val="0"/>
    <w:rPr>
      <w:sz w:val="21"/>
      <w:szCs w:val="21"/>
    </w:rPr>
  </w:style>
  <w:style w:type="paragraph" w:customStyle="1" w:styleId="39">
    <w:name w:val="Default"/>
    <w:basedOn w:val="40"/>
    <w:next w:val="41"/>
    <w:autoRedefine/>
    <w:qFormat/>
    <w:uiPriority w:val="0"/>
    <w:pPr>
      <w:widowControl w:val="0"/>
      <w:autoSpaceDE w:val="0"/>
      <w:autoSpaceDN w:val="0"/>
      <w:adjustRightInd w:val="0"/>
    </w:pPr>
    <w:rPr>
      <w:color w:val="000000"/>
      <w:sz w:val="24"/>
    </w:rPr>
  </w:style>
  <w:style w:type="paragraph" w:customStyle="1" w:styleId="40">
    <w:name w:val="标题 段落4级"/>
    <w:autoRedefine/>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41">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42">
    <w:name w:val="页眉 Char"/>
    <w:basedOn w:val="35"/>
    <w:link w:val="23"/>
    <w:autoRedefine/>
    <w:qFormat/>
    <w:uiPriority w:val="0"/>
    <w:rPr>
      <w:sz w:val="18"/>
      <w:szCs w:val="18"/>
    </w:rPr>
  </w:style>
  <w:style w:type="character" w:customStyle="1" w:styleId="43">
    <w:name w:val="页脚 Char"/>
    <w:basedOn w:val="35"/>
    <w:link w:val="22"/>
    <w:autoRedefine/>
    <w:qFormat/>
    <w:uiPriority w:val="0"/>
    <w:rPr>
      <w:sz w:val="18"/>
      <w:szCs w:val="18"/>
    </w:rPr>
  </w:style>
  <w:style w:type="character" w:customStyle="1" w:styleId="44">
    <w:name w:val="标题 1 Char"/>
    <w:basedOn w:val="35"/>
    <w:link w:val="2"/>
    <w:autoRedefine/>
    <w:qFormat/>
    <w:uiPriority w:val="0"/>
    <w:rPr>
      <w:rFonts w:ascii="Times New Roman" w:hAnsi="Times New Roman" w:eastAsia="仿宋"/>
      <w:b/>
      <w:bCs/>
      <w:kern w:val="44"/>
      <w:sz w:val="36"/>
      <w:szCs w:val="44"/>
    </w:rPr>
  </w:style>
  <w:style w:type="character" w:customStyle="1" w:styleId="45">
    <w:name w:val="标题 2 Char"/>
    <w:basedOn w:val="35"/>
    <w:link w:val="3"/>
    <w:autoRedefine/>
    <w:qFormat/>
    <w:uiPriority w:val="0"/>
    <w:rPr>
      <w:rFonts w:ascii="Times New Roman" w:hAnsi="Times New Roman" w:eastAsia="仿宋" w:cstheme="majorBidi"/>
      <w:b/>
      <w:bCs/>
      <w:sz w:val="32"/>
      <w:szCs w:val="32"/>
    </w:rPr>
  </w:style>
  <w:style w:type="character" w:customStyle="1" w:styleId="46">
    <w:name w:val="标题 3 Char"/>
    <w:basedOn w:val="35"/>
    <w:link w:val="4"/>
    <w:autoRedefine/>
    <w:qFormat/>
    <w:uiPriority w:val="0"/>
    <w:rPr>
      <w:rFonts w:ascii="Times New Roman" w:hAnsi="Times New Roman" w:eastAsia="仿宋"/>
      <w:b/>
      <w:bCs/>
      <w:sz w:val="28"/>
      <w:szCs w:val="32"/>
    </w:rPr>
  </w:style>
  <w:style w:type="character" w:customStyle="1" w:styleId="47">
    <w:name w:val="标题 4 Char"/>
    <w:basedOn w:val="35"/>
    <w:link w:val="5"/>
    <w:autoRedefine/>
    <w:qFormat/>
    <w:uiPriority w:val="0"/>
    <w:rPr>
      <w:rFonts w:ascii="Times New Roman" w:hAnsi="Times New Roman" w:eastAsia="仿宋" w:cstheme="majorBidi"/>
      <w:b/>
      <w:bCs/>
      <w:sz w:val="28"/>
      <w:szCs w:val="28"/>
    </w:rPr>
  </w:style>
  <w:style w:type="character" w:customStyle="1" w:styleId="48">
    <w:name w:val="标题 5 Char"/>
    <w:basedOn w:val="35"/>
    <w:link w:val="6"/>
    <w:autoRedefine/>
    <w:qFormat/>
    <w:uiPriority w:val="0"/>
    <w:rPr>
      <w:rFonts w:ascii="Times New Roman" w:hAnsi="Times New Roman" w:eastAsia="仿宋"/>
      <w:b/>
      <w:bCs/>
      <w:sz w:val="28"/>
      <w:szCs w:val="28"/>
    </w:rPr>
  </w:style>
  <w:style w:type="character" w:customStyle="1" w:styleId="49">
    <w:name w:val="图标 Char"/>
    <w:link w:val="50"/>
    <w:autoRedefine/>
    <w:qFormat/>
    <w:uiPriority w:val="0"/>
    <w:rPr>
      <w:rFonts w:eastAsia="宋体"/>
      <w:b/>
      <w:kern w:val="0"/>
      <w:sz w:val="24"/>
      <w:szCs w:val="20"/>
    </w:rPr>
  </w:style>
  <w:style w:type="paragraph" w:customStyle="1" w:styleId="50">
    <w:name w:val="图标"/>
    <w:basedOn w:val="1"/>
    <w:link w:val="49"/>
    <w:autoRedefine/>
    <w:qFormat/>
    <w:uiPriority w:val="0"/>
    <w:pPr>
      <w:spacing w:after="10"/>
      <w:ind w:firstLine="420" w:firstLineChars="200"/>
      <w:jc w:val="center"/>
      <w:textAlignment w:val="baseline"/>
    </w:pPr>
    <w:rPr>
      <w:rFonts w:eastAsia="宋体"/>
      <w:b/>
      <w:kern w:val="0"/>
      <w:sz w:val="24"/>
      <w:szCs w:val="20"/>
    </w:rPr>
  </w:style>
  <w:style w:type="character" w:customStyle="1" w:styleId="51">
    <w:name w:val="正文文本 字符"/>
    <w:basedOn w:val="35"/>
    <w:autoRedefine/>
    <w:semiHidden/>
    <w:qFormat/>
    <w:uiPriority w:val="0"/>
  </w:style>
  <w:style w:type="character" w:customStyle="1" w:styleId="52">
    <w:name w:val="正文文本 Char"/>
    <w:link w:val="13"/>
    <w:autoRedefine/>
    <w:qFormat/>
    <w:uiPriority w:val="99"/>
    <w:rPr>
      <w:rFonts w:ascii="Times New Roman" w:hAnsi="Times New Roman" w:eastAsia="宋体" w:cs="Times New Roman"/>
      <w:szCs w:val="24"/>
      <w:lang w:val="zh-CN" w:eastAsia="zh-CN"/>
    </w:rPr>
  </w:style>
  <w:style w:type="character" w:customStyle="1" w:styleId="53">
    <w:name w:val="批注文字 Char"/>
    <w:basedOn w:val="35"/>
    <w:link w:val="12"/>
    <w:autoRedefine/>
    <w:qFormat/>
    <w:uiPriority w:val="0"/>
  </w:style>
  <w:style w:type="character" w:customStyle="1" w:styleId="54">
    <w:name w:val="批注主题 Char"/>
    <w:basedOn w:val="53"/>
    <w:link w:val="31"/>
    <w:autoRedefine/>
    <w:semiHidden/>
    <w:qFormat/>
    <w:uiPriority w:val="0"/>
    <w:rPr>
      <w:b/>
      <w:bCs/>
    </w:rPr>
  </w:style>
  <w:style w:type="paragraph" w:styleId="55">
    <w:name w:val="List Paragraph"/>
    <w:basedOn w:val="1"/>
    <w:autoRedefine/>
    <w:qFormat/>
    <w:uiPriority w:val="0"/>
    <w:pPr>
      <w:ind w:firstLine="420" w:firstLineChars="200"/>
    </w:pPr>
  </w:style>
  <w:style w:type="character" w:customStyle="1" w:styleId="56">
    <w:name w:val="批注文字 字符1"/>
    <w:basedOn w:val="35"/>
    <w:autoRedefine/>
    <w:qFormat/>
    <w:uiPriority w:val="0"/>
    <w:rPr>
      <w:rFonts w:ascii="Times New Roman" w:hAnsi="Times New Roman" w:eastAsia="宋体" w:cs="Times New Roman"/>
      <w:szCs w:val="20"/>
    </w:rPr>
  </w:style>
  <w:style w:type="character" w:customStyle="1" w:styleId="57">
    <w:name w:val="标题 9 Char"/>
    <w:basedOn w:val="35"/>
    <w:link w:val="7"/>
    <w:autoRedefine/>
    <w:qFormat/>
    <w:uiPriority w:val="0"/>
    <w:rPr>
      <w:rFonts w:ascii="Arial" w:hAnsi="Arial" w:eastAsia="黑体" w:cs="Times New Roman"/>
      <w:sz w:val="24"/>
      <w:szCs w:val="20"/>
    </w:rPr>
  </w:style>
  <w:style w:type="character" w:customStyle="1" w:styleId="58">
    <w:name w:val="表格文字样式 Char"/>
    <w:link w:val="59"/>
    <w:autoRedefine/>
    <w:qFormat/>
    <w:uiPriority w:val="0"/>
    <w:rPr>
      <w:rFonts w:eastAsia="华文仿宋"/>
    </w:rPr>
  </w:style>
  <w:style w:type="paragraph" w:customStyle="1" w:styleId="59">
    <w:name w:val="表格文字样式"/>
    <w:basedOn w:val="60"/>
    <w:link w:val="58"/>
    <w:autoRedefine/>
    <w:qFormat/>
    <w:uiPriority w:val="0"/>
    <w:rPr>
      <w:b w:val="0"/>
    </w:rPr>
  </w:style>
  <w:style w:type="paragraph" w:customStyle="1" w:styleId="60">
    <w:name w:val="题注样式"/>
    <w:basedOn w:val="1"/>
    <w:link w:val="61"/>
    <w:autoRedefine/>
    <w:qFormat/>
    <w:uiPriority w:val="0"/>
    <w:pPr>
      <w:snapToGrid w:val="0"/>
      <w:jc w:val="center"/>
      <w:outlineLvl w:val="4"/>
    </w:pPr>
    <w:rPr>
      <w:rFonts w:eastAsia="华文仿宋"/>
      <w:b/>
    </w:rPr>
  </w:style>
  <w:style w:type="character" w:customStyle="1" w:styleId="61">
    <w:name w:val="题注样式 Char"/>
    <w:link w:val="60"/>
    <w:autoRedefine/>
    <w:qFormat/>
    <w:uiPriority w:val="0"/>
    <w:rPr>
      <w:rFonts w:eastAsia="华文仿宋"/>
      <w:b/>
    </w:rPr>
  </w:style>
  <w:style w:type="character" w:customStyle="1" w:styleId="62">
    <w:name w:val="font11"/>
    <w:autoRedefine/>
    <w:qFormat/>
    <w:uiPriority w:val="0"/>
    <w:rPr>
      <w:rFonts w:hint="default" w:ascii="Times New Roman" w:hAnsi="Times New Roman" w:cs="Times New Roman"/>
      <w:color w:val="000000"/>
      <w:sz w:val="20"/>
      <w:szCs w:val="20"/>
      <w:u w:val="none"/>
      <w:vertAlign w:val="subscript"/>
    </w:rPr>
  </w:style>
  <w:style w:type="character" w:customStyle="1" w:styleId="63">
    <w:name w:val="样式5 Char"/>
    <w:link w:val="64"/>
    <w:autoRedefine/>
    <w:qFormat/>
    <w:uiPriority w:val="0"/>
    <w:rPr>
      <w:rFonts w:eastAsia="宋体"/>
      <w:sz w:val="24"/>
      <w:szCs w:val="24"/>
    </w:rPr>
  </w:style>
  <w:style w:type="paragraph" w:customStyle="1" w:styleId="64">
    <w:name w:val="样式5"/>
    <w:basedOn w:val="1"/>
    <w:link w:val="63"/>
    <w:autoRedefine/>
    <w:qFormat/>
    <w:uiPriority w:val="0"/>
    <w:pPr>
      <w:widowControl/>
      <w:adjustRightInd w:val="0"/>
      <w:snapToGrid w:val="0"/>
      <w:spacing w:line="360" w:lineRule="auto"/>
      <w:ind w:firstLine="480" w:firstLineChars="200"/>
      <w:jc w:val="left"/>
    </w:pPr>
    <w:rPr>
      <w:rFonts w:eastAsia="宋体"/>
      <w:sz w:val="24"/>
      <w:szCs w:val="24"/>
    </w:rPr>
  </w:style>
  <w:style w:type="character" w:customStyle="1" w:styleId="65">
    <w:name w:val="页码1"/>
    <w:basedOn w:val="35"/>
    <w:autoRedefine/>
    <w:qFormat/>
    <w:uiPriority w:val="0"/>
  </w:style>
  <w:style w:type="character" w:customStyle="1" w:styleId="66">
    <w:name w:val="批注框文本 Char"/>
    <w:link w:val="21"/>
    <w:autoRedefine/>
    <w:qFormat/>
    <w:uiPriority w:val="0"/>
    <w:rPr>
      <w:rFonts w:eastAsia="华文仿宋"/>
      <w:sz w:val="18"/>
      <w:szCs w:val="18"/>
    </w:rPr>
  </w:style>
  <w:style w:type="character" w:customStyle="1" w:styleId="67">
    <w:name w:val="无间隔 Char"/>
    <w:link w:val="68"/>
    <w:autoRedefine/>
    <w:qFormat/>
    <w:uiPriority w:val="0"/>
  </w:style>
  <w:style w:type="paragraph" w:styleId="68">
    <w:name w:val="No Spacing"/>
    <w:link w:val="67"/>
    <w:autoRedefine/>
    <w:qFormat/>
    <w:uiPriority w:val="0"/>
    <w:pPr>
      <w:widowControl w:val="0"/>
      <w:spacing w:line="360" w:lineRule="exact"/>
      <w:jc w:val="center"/>
    </w:pPr>
    <w:rPr>
      <w:rFonts w:asciiTheme="minorHAnsi" w:hAnsiTheme="minorHAnsi" w:eastAsiaTheme="minorEastAsia" w:cstheme="minorBidi"/>
      <w:kern w:val="2"/>
      <w:sz w:val="21"/>
      <w:szCs w:val="22"/>
      <w:lang w:val="en-US" w:eastAsia="zh-CN" w:bidi="ar-SA"/>
    </w:rPr>
  </w:style>
  <w:style w:type="character" w:customStyle="1" w:styleId="69">
    <w:name w:val="页码2"/>
    <w:basedOn w:val="35"/>
    <w:autoRedefine/>
    <w:qFormat/>
    <w:uiPriority w:val="0"/>
  </w:style>
  <w:style w:type="character" w:customStyle="1" w:styleId="70">
    <w:name w:val="表格内容 Char"/>
    <w:link w:val="71"/>
    <w:autoRedefine/>
    <w:qFormat/>
    <w:uiPriority w:val="0"/>
    <w:rPr>
      <w:rFonts w:ascii="Arial" w:hAnsi="Arial" w:eastAsia="仿宋_GB2312"/>
      <w:sz w:val="24"/>
    </w:rPr>
  </w:style>
  <w:style w:type="paragraph" w:customStyle="1" w:styleId="71">
    <w:name w:val="表格内容"/>
    <w:basedOn w:val="1"/>
    <w:link w:val="70"/>
    <w:autoRedefine/>
    <w:qFormat/>
    <w:uiPriority w:val="0"/>
    <w:pPr>
      <w:overflowPunct w:val="0"/>
      <w:adjustRightInd w:val="0"/>
      <w:spacing w:line="200" w:lineRule="atLeast"/>
      <w:jc w:val="center"/>
      <w:textAlignment w:val="baseline"/>
    </w:pPr>
    <w:rPr>
      <w:rFonts w:ascii="Arial" w:hAnsi="Arial" w:eastAsia="仿宋_GB2312"/>
      <w:sz w:val="24"/>
    </w:rPr>
  </w:style>
  <w:style w:type="character" w:customStyle="1" w:styleId="72">
    <w:name w:val="列出段落 Char"/>
    <w:link w:val="73"/>
    <w:autoRedefine/>
    <w:qFormat/>
    <w:uiPriority w:val="0"/>
    <w:rPr>
      <w:rFonts w:ascii="Calibri" w:hAnsi="Calibri" w:eastAsia="宋体"/>
    </w:rPr>
  </w:style>
  <w:style w:type="paragraph" w:customStyle="1" w:styleId="73">
    <w:name w:val="列出段落1"/>
    <w:basedOn w:val="1"/>
    <w:link w:val="72"/>
    <w:autoRedefine/>
    <w:qFormat/>
    <w:uiPriority w:val="0"/>
    <w:pPr>
      <w:ind w:firstLine="420" w:firstLineChars="200"/>
    </w:pPr>
    <w:rPr>
      <w:rFonts w:ascii="Calibri" w:hAnsi="Calibri" w:eastAsia="宋体"/>
    </w:rPr>
  </w:style>
  <w:style w:type="character" w:customStyle="1" w:styleId="74">
    <w:name w:val="样式3 Char"/>
    <w:link w:val="75"/>
    <w:autoRedefine/>
    <w:qFormat/>
    <w:uiPriority w:val="0"/>
    <w:rPr>
      <w:rFonts w:eastAsia="宋体"/>
      <w:b/>
      <w:bCs/>
      <w:snapToGrid w:val="0"/>
      <w:sz w:val="28"/>
      <w:szCs w:val="32"/>
    </w:rPr>
  </w:style>
  <w:style w:type="paragraph" w:customStyle="1" w:styleId="75">
    <w:name w:val="样式3"/>
    <w:basedOn w:val="4"/>
    <w:link w:val="74"/>
    <w:autoRedefine/>
    <w:qFormat/>
    <w:uiPriority w:val="0"/>
    <w:pPr>
      <w:numPr>
        <w:numId w:val="0"/>
      </w:numPr>
      <w:tabs>
        <w:tab w:val="left" w:pos="1730"/>
      </w:tabs>
      <w:adjustRightInd w:val="0"/>
      <w:snapToGrid w:val="0"/>
      <w:spacing w:before="260" w:after="260" w:line="312" w:lineRule="auto"/>
      <w:ind w:left="1730" w:hanging="1021"/>
      <w:contextualSpacing w:val="0"/>
      <w:jc w:val="left"/>
    </w:pPr>
    <w:rPr>
      <w:rFonts w:eastAsia="宋体" w:asciiTheme="minorHAnsi" w:hAnsiTheme="minorHAnsi"/>
      <w:snapToGrid w:val="0"/>
    </w:rPr>
  </w:style>
  <w:style w:type="character" w:customStyle="1" w:styleId="76">
    <w:name w:val="报告正文 Char"/>
    <w:link w:val="77"/>
    <w:autoRedefine/>
    <w:qFormat/>
    <w:uiPriority w:val="0"/>
    <w:rPr>
      <w:sz w:val="24"/>
    </w:rPr>
  </w:style>
  <w:style w:type="paragraph" w:customStyle="1" w:styleId="77">
    <w:name w:val="报告正文"/>
    <w:basedOn w:val="1"/>
    <w:next w:val="1"/>
    <w:link w:val="76"/>
    <w:autoRedefine/>
    <w:qFormat/>
    <w:uiPriority w:val="0"/>
    <w:pPr>
      <w:adjustRightInd w:val="0"/>
      <w:snapToGrid w:val="0"/>
      <w:spacing w:line="480" w:lineRule="exact"/>
      <w:ind w:firstLine="200" w:firstLineChars="200"/>
    </w:pPr>
    <w:rPr>
      <w:sz w:val="24"/>
    </w:rPr>
  </w:style>
  <w:style w:type="character" w:customStyle="1" w:styleId="78">
    <w:name w:val="图文框 Char"/>
    <w:link w:val="79"/>
    <w:autoRedefine/>
    <w:qFormat/>
    <w:uiPriority w:val="0"/>
    <w:rPr>
      <w:rFonts w:ascii="宋体" w:hAnsi="宋体" w:eastAsia="宋体"/>
      <w:szCs w:val="21"/>
      <w:lang w:val="en-JM"/>
    </w:rPr>
  </w:style>
  <w:style w:type="paragraph" w:customStyle="1" w:styleId="79">
    <w:name w:val="图文框"/>
    <w:basedOn w:val="1"/>
    <w:link w:val="78"/>
    <w:autoRedefine/>
    <w:qFormat/>
    <w:uiPriority w:val="0"/>
    <w:pPr>
      <w:autoSpaceDE w:val="0"/>
      <w:autoSpaceDN w:val="0"/>
      <w:adjustRightInd w:val="0"/>
      <w:snapToGrid w:val="0"/>
      <w:jc w:val="center"/>
      <w:textAlignment w:val="baseline"/>
    </w:pPr>
    <w:rPr>
      <w:rFonts w:ascii="宋体" w:hAnsi="宋体" w:eastAsia="宋体"/>
      <w:szCs w:val="21"/>
      <w:lang w:val="en-JM"/>
    </w:rPr>
  </w:style>
  <w:style w:type="character" w:customStyle="1" w:styleId="80">
    <w:name w:val="批注引用1"/>
    <w:autoRedefine/>
    <w:qFormat/>
    <w:uiPriority w:val="0"/>
    <w:rPr>
      <w:sz w:val="21"/>
      <w:szCs w:val="21"/>
    </w:rPr>
  </w:style>
  <w:style w:type="character" w:customStyle="1" w:styleId="81">
    <w:name w:val="纯文本 Char"/>
    <w:link w:val="17"/>
    <w:autoRedefine/>
    <w:qFormat/>
    <w:uiPriority w:val="0"/>
    <w:rPr>
      <w:rFonts w:ascii="宋体" w:hAnsi="Courier New" w:eastAsia="宋体"/>
      <w:szCs w:val="21"/>
    </w:rPr>
  </w:style>
  <w:style w:type="character" w:customStyle="1" w:styleId="82">
    <w:name w:val="Char Char8"/>
    <w:autoRedefine/>
    <w:qFormat/>
    <w:uiPriority w:val="0"/>
    <w:rPr>
      <w:rFonts w:eastAsia="宋体"/>
      <w:sz w:val="18"/>
      <w:szCs w:val="18"/>
      <w:lang w:val="en-US" w:eastAsia="zh-CN"/>
    </w:rPr>
  </w:style>
  <w:style w:type="character" w:customStyle="1" w:styleId="83">
    <w:name w:val="标题 Char"/>
    <w:link w:val="30"/>
    <w:autoRedefine/>
    <w:qFormat/>
    <w:uiPriority w:val="0"/>
    <w:rPr>
      <w:rFonts w:ascii="Cambria" w:hAnsi="Cambria" w:eastAsia="宋体"/>
      <w:b/>
      <w:bCs/>
      <w:sz w:val="32"/>
      <w:szCs w:val="32"/>
    </w:rPr>
  </w:style>
  <w:style w:type="character" w:customStyle="1" w:styleId="84">
    <w:name w:val="日期 Char"/>
    <w:link w:val="19"/>
    <w:autoRedefine/>
    <w:qFormat/>
    <w:uiPriority w:val="0"/>
    <w:rPr>
      <w:rFonts w:eastAsia="华文仿宋"/>
      <w:sz w:val="28"/>
    </w:rPr>
  </w:style>
  <w:style w:type="character" w:customStyle="1" w:styleId="85">
    <w:name w:val="正文缩进 Char"/>
    <w:link w:val="8"/>
    <w:autoRedefine/>
    <w:qFormat/>
    <w:uiPriority w:val="0"/>
    <w:rPr>
      <w:rFonts w:eastAsia="华文仿宋"/>
      <w:sz w:val="28"/>
    </w:rPr>
  </w:style>
  <w:style w:type="character" w:customStyle="1" w:styleId="86">
    <w:name w:val="apple-converted-space"/>
    <w:autoRedefine/>
    <w:qFormat/>
    <w:uiPriority w:val="0"/>
  </w:style>
  <w:style w:type="character" w:customStyle="1" w:styleId="87">
    <w:name w:val="样式6 Char"/>
    <w:link w:val="88"/>
    <w:autoRedefine/>
    <w:qFormat/>
    <w:uiPriority w:val="0"/>
    <w:rPr>
      <w:rFonts w:eastAsia="宋体"/>
      <w:sz w:val="24"/>
      <w:szCs w:val="24"/>
    </w:rPr>
  </w:style>
  <w:style w:type="paragraph" w:customStyle="1" w:styleId="88">
    <w:name w:val="样式6"/>
    <w:basedOn w:val="1"/>
    <w:link w:val="87"/>
    <w:autoRedefine/>
    <w:qFormat/>
    <w:uiPriority w:val="0"/>
    <w:pPr>
      <w:widowControl/>
      <w:adjustRightInd w:val="0"/>
      <w:snapToGrid w:val="0"/>
      <w:spacing w:line="360" w:lineRule="auto"/>
      <w:ind w:firstLine="566" w:firstLineChars="236"/>
      <w:jc w:val="left"/>
    </w:pPr>
    <w:rPr>
      <w:rFonts w:eastAsia="宋体"/>
      <w:sz w:val="24"/>
      <w:szCs w:val="24"/>
    </w:rPr>
  </w:style>
  <w:style w:type="character" w:customStyle="1" w:styleId="89">
    <w:name w:val="明显强调1"/>
    <w:autoRedefine/>
    <w:qFormat/>
    <w:uiPriority w:val="0"/>
    <w:rPr>
      <w:i/>
      <w:iCs/>
      <w:color w:val="5B9BD5"/>
    </w:rPr>
  </w:style>
  <w:style w:type="character" w:customStyle="1" w:styleId="90">
    <w:name w:val="纯文本 字符1"/>
    <w:basedOn w:val="35"/>
    <w:autoRedefine/>
    <w:semiHidden/>
    <w:qFormat/>
    <w:uiPriority w:val="99"/>
    <w:rPr>
      <w:rFonts w:hAnsi="Courier New" w:cs="Courier New" w:asciiTheme="minorEastAsia"/>
    </w:rPr>
  </w:style>
  <w:style w:type="character" w:customStyle="1" w:styleId="91">
    <w:name w:val="批注框文本 字符1"/>
    <w:basedOn w:val="35"/>
    <w:autoRedefine/>
    <w:semiHidden/>
    <w:qFormat/>
    <w:uiPriority w:val="99"/>
    <w:rPr>
      <w:sz w:val="18"/>
      <w:szCs w:val="18"/>
    </w:rPr>
  </w:style>
  <w:style w:type="character" w:customStyle="1" w:styleId="92">
    <w:name w:val="标题 字符1"/>
    <w:basedOn w:val="35"/>
    <w:autoRedefine/>
    <w:qFormat/>
    <w:uiPriority w:val="10"/>
    <w:rPr>
      <w:rFonts w:asciiTheme="majorHAnsi" w:hAnsiTheme="majorHAnsi" w:eastAsiaTheme="majorEastAsia" w:cstheme="majorBidi"/>
      <w:b/>
      <w:bCs/>
      <w:sz w:val="32"/>
      <w:szCs w:val="32"/>
    </w:rPr>
  </w:style>
  <w:style w:type="character" w:customStyle="1" w:styleId="93">
    <w:name w:val="日期 字符1"/>
    <w:basedOn w:val="35"/>
    <w:autoRedefine/>
    <w:semiHidden/>
    <w:qFormat/>
    <w:uiPriority w:val="99"/>
  </w:style>
  <w:style w:type="character" w:customStyle="1" w:styleId="94">
    <w:name w:val="文档结构图 Char"/>
    <w:basedOn w:val="35"/>
    <w:link w:val="11"/>
    <w:autoRedefine/>
    <w:semiHidden/>
    <w:qFormat/>
    <w:uiPriority w:val="0"/>
    <w:rPr>
      <w:rFonts w:ascii="Times New Roman" w:hAnsi="Times New Roman" w:eastAsia="华文仿宋" w:cs="Times New Roman"/>
      <w:sz w:val="28"/>
      <w:shd w:val="clear" w:color="auto" w:fill="000080"/>
    </w:rPr>
  </w:style>
  <w:style w:type="paragraph" w:customStyle="1" w:styleId="95">
    <w:name w:val="样式 标题 2第一章 标题 2Heading 2 HiddenHeading 2 CCBSheading 2H2h2..."/>
    <w:basedOn w:val="3"/>
    <w:autoRedefine/>
    <w:qFormat/>
    <w:uiPriority w:val="0"/>
    <w:pPr>
      <w:numPr>
        <w:ilvl w:val="0"/>
        <w:numId w:val="0"/>
      </w:numPr>
      <w:spacing w:before="0" w:beforeLines="0" w:after="0" w:afterLines="0" w:line="480" w:lineRule="exact"/>
      <w:ind w:firstLine="562" w:firstLineChars="200"/>
      <w:contextualSpacing w:val="0"/>
    </w:pPr>
    <w:rPr>
      <w:rFonts w:ascii="黑体" w:hAnsi="宋体" w:eastAsia="宋体" w:cs="楷体_GB2312"/>
      <w:bCs w:val="0"/>
      <w:color w:val="000000"/>
      <w:kern w:val="0"/>
      <w:sz w:val="28"/>
      <w:szCs w:val="28"/>
      <w:lang w:val="zh-CN"/>
    </w:rPr>
  </w:style>
  <w:style w:type="paragraph" w:customStyle="1" w:styleId="96">
    <w:name w:val="TOC 标题1"/>
    <w:basedOn w:val="2"/>
    <w:next w:val="1"/>
    <w:autoRedefine/>
    <w:qFormat/>
    <w:uiPriority w:val="0"/>
    <w:pPr>
      <w:widowControl/>
      <w:numPr>
        <w:numId w:val="0"/>
      </w:numPr>
      <w:snapToGrid w:val="0"/>
      <w:spacing w:before="240" w:beforeLines="0" w:after="0" w:afterLines="0" w:line="259" w:lineRule="auto"/>
      <w:contextualSpacing w:val="0"/>
      <w:jc w:val="left"/>
      <w:outlineLvl w:val="9"/>
    </w:pPr>
    <w:rPr>
      <w:rFonts w:ascii="Calibri Light" w:hAnsi="Calibri Light" w:eastAsia="宋体" w:cs="Times New Roman"/>
      <w:b w:val="0"/>
      <w:bCs w:val="0"/>
      <w:color w:val="2E74B5"/>
      <w:kern w:val="0"/>
      <w:sz w:val="32"/>
      <w:szCs w:val="32"/>
    </w:rPr>
  </w:style>
  <w:style w:type="paragraph" w:customStyle="1" w:styleId="97">
    <w:name w:val="表"/>
    <w:basedOn w:val="1"/>
    <w:autoRedefine/>
    <w:qFormat/>
    <w:uiPriority w:val="0"/>
    <w:pPr>
      <w:spacing w:line="400" w:lineRule="exact"/>
      <w:ind w:firstLine="200" w:firstLineChars="200"/>
      <w:jc w:val="center"/>
    </w:pPr>
    <w:rPr>
      <w:rFonts w:ascii="Times New Roman" w:hAnsi="Times New Roman" w:eastAsia="仿宋" w:cs="Times New Roman"/>
      <w:kern w:val="0"/>
      <w:sz w:val="28"/>
      <w:szCs w:val="21"/>
    </w:rPr>
  </w:style>
  <w:style w:type="paragraph" w:customStyle="1" w:styleId="98">
    <w:name w:val="_Style 1"/>
    <w:basedOn w:val="1"/>
    <w:next w:val="8"/>
    <w:autoRedefine/>
    <w:qFormat/>
    <w:uiPriority w:val="0"/>
    <w:pPr>
      <w:adjustRightInd w:val="0"/>
      <w:spacing w:line="288" w:lineRule="auto"/>
      <w:ind w:firstLine="480"/>
      <w:textAlignment w:val="baseline"/>
    </w:pPr>
    <w:rPr>
      <w:rFonts w:ascii="宋体" w:hAnsi="宋体" w:eastAsia="宋体" w:cs="宋体"/>
      <w:sz w:val="24"/>
      <w:szCs w:val="24"/>
    </w:rPr>
  </w:style>
  <w:style w:type="paragraph" w:customStyle="1" w:styleId="99">
    <w:name w:val="正文_1"/>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00">
    <w:name w:val="1-表格"/>
    <w:basedOn w:val="1"/>
    <w:autoRedefine/>
    <w:qFormat/>
    <w:uiPriority w:val="0"/>
    <w:pPr>
      <w:widowControl/>
      <w:snapToGrid w:val="0"/>
      <w:spacing w:before="100" w:beforeAutospacing="1" w:after="100" w:afterAutospacing="1"/>
      <w:jc w:val="center"/>
    </w:pPr>
    <w:rPr>
      <w:rFonts w:ascii="Times New Roman" w:hAnsi="Times New Roman" w:eastAsia="华文仿宋" w:cs="Times New Roman"/>
      <w:color w:val="000000"/>
      <w:kern w:val="0"/>
      <w:szCs w:val="21"/>
    </w:rPr>
  </w:style>
  <w:style w:type="paragraph" w:customStyle="1" w:styleId="101">
    <w:name w:val="xl33"/>
    <w:basedOn w:val="1"/>
    <w:autoRedefine/>
    <w:qFormat/>
    <w:uiPriority w:val="0"/>
    <w:pPr>
      <w:widowControl/>
      <w:spacing w:before="100" w:beforeAutospacing="1" w:after="100" w:afterAutospacing="1"/>
      <w:jc w:val="center"/>
    </w:pPr>
    <w:rPr>
      <w:rFonts w:ascii="Arial Unicode MS" w:hAnsi="Arial Unicode MS" w:eastAsia="Arial Unicode MS" w:cs="Arial Unicode MS"/>
      <w:kern w:val="0"/>
      <w:sz w:val="24"/>
      <w:szCs w:val="24"/>
    </w:rPr>
  </w:style>
  <w:style w:type="paragraph" w:customStyle="1" w:styleId="102">
    <w:name w:val="表格"/>
    <w:basedOn w:val="17"/>
    <w:next w:val="1"/>
    <w:autoRedefine/>
    <w:qFormat/>
    <w:uiPriority w:val="0"/>
    <w:pPr>
      <w:tabs>
        <w:tab w:val="left" w:pos="720"/>
      </w:tabs>
      <w:jc w:val="center"/>
    </w:pPr>
    <w:rPr>
      <w:rFonts w:ascii="Times New Roman" w:hAnsi="Times New Roman"/>
      <w:szCs w:val="24"/>
    </w:rPr>
  </w:style>
  <w:style w:type="paragraph" w:customStyle="1" w:styleId="103">
    <w:name w:val="表格正文"/>
    <w:basedOn w:val="1"/>
    <w:autoRedefine/>
    <w:qFormat/>
    <w:uiPriority w:val="0"/>
    <w:pPr>
      <w:spacing w:line="360" w:lineRule="exact"/>
      <w:jc w:val="center"/>
    </w:pPr>
    <w:rPr>
      <w:rFonts w:ascii="Times New Roman" w:hAnsi="Times New Roman" w:eastAsia="宋体" w:cs="Times New Roman"/>
      <w:szCs w:val="20"/>
    </w:rPr>
  </w:style>
  <w:style w:type="paragraph" w:customStyle="1" w:styleId="104">
    <w:name w:val="表格-监测"/>
    <w:autoRedefine/>
    <w:qFormat/>
    <w:uiPriority w:val="0"/>
    <w:pPr>
      <w:widowControl w:val="0"/>
      <w:autoSpaceDE w:val="0"/>
      <w:autoSpaceDN w:val="0"/>
      <w:spacing w:line="320" w:lineRule="exact"/>
      <w:jc w:val="center"/>
    </w:pPr>
    <w:rPr>
      <w:rFonts w:ascii="Times New Roman" w:hAnsi="Times New Roman" w:eastAsia="宋体" w:cs="宋体"/>
      <w:color w:val="000000"/>
      <w:sz w:val="21"/>
      <w:szCs w:val="21"/>
      <w:lang w:val="en-US" w:eastAsia="en-US" w:bidi="ar-SA"/>
    </w:rPr>
  </w:style>
  <w:style w:type="paragraph" w:customStyle="1" w:styleId="105">
    <w:name w:val="XYF表格"/>
    <w:basedOn w:val="1"/>
    <w:autoRedefine/>
    <w:qFormat/>
    <w:uiPriority w:val="0"/>
    <w:pPr>
      <w:tabs>
        <w:tab w:val="left" w:pos="1080"/>
      </w:tabs>
      <w:spacing w:line="440" w:lineRule="exact"/>
    </w:pPr>
    <w:rPr>
      <w:rFonts w:ascii="Times New Roman" w:hAnsi="Times New Roman" w:eastAsia="宋体" w:cs="Times New Roman"/>
      <w:sz w:val="24"/>
      <w:szCs w:val="20"/>
    </w:rPr>
  </w:style>
  <w:style w:type="paragraph" w:customStyle="1" w:styleId="106">
    <w:name w:val="Char Char Char"/>
    <w:basedOn w:val="1"/>
    <w:autoRedefine/>
    <w:qFormat/>
    <w:uiPriority w:val="0"/>
    <w:rPr>
      <w:rFonts w:ascii="Times New Roman" w:hAnsi="Times New Roman" w:eastAsia="宋体" w:cs="Times New Roman"/>
      <w:szCs w:val="20"/>
    </w:rPr>
  </w:style>
  <w:style w:type="paragraph" w:customStyle="1" w:styleId="107">
    <w:name w:val="正文＋2缩进"/>
    <w:basedOn w:val="13"/>
    <w:autoRedefine/>
    <w:qFormat/>
    <w:uiPriority w:val="0"/>
    <w:pPr>
      <w:spacing w:after="0"/>
      <w:ind w:firstLine="200" w:firstLineChars="200"/>
      <w:jc w:val="left"/>
    </w:pPr>
    <w:rPr>
      <w:rFonts w:ascii="宋体" w:hAnsi="宋体" w:cs="宋体"/>
      <w:sz w:val="28"/>
      <w:lang w:val="en-GB"/>
    </w:rPr>
  </w:style>
  <w:style w:type="paragraph" w:customStyle="1" w:styleId="108">
    <w:name w:val="表格·"/>
    <w:basedOn w:val="1"/>
    <w:next w:val="1"/>
    <w:autoRedefine/>
    <w:qFormat/>
    <w:uiPriority w:val="0"/>
    <w:pPr>
      <w:shd w:val="clear" w:color="auto" w:fill="FFFFFF"/>
      <w:snapToGrid w:val="0"/>
      <w:jc w:val="center"/>
    </w:pPr>
    <w:rPr>
      <w:rFonts w:ascii="Times New Roman" w:hAnsi="Times New Roman" w:eastAsia="宋体" w:cs="MingLiU"/>
      <w:szCs w:val="21"/>
    </w:rPr>
  </w:style>
  <w:style w:type="paragraph" w:customStyle="1" w:styleId="109">
    <w:name w:val="标号正文"/>
    <w:basedOn w:val="1"/>
    <w:next w:val="1"/>
    <w:autoRedefine/>
    <w:qFormat/>
    <w:uiPriority w:val="0"/>
    <w:pPr>
      <w:tabs>
        <w:tab w:val="left" w:pos="1540"/>
      </w:tabs>
      <w:overflowPunct w:val="0"/>
      <w:snapToGrid w:val="0"/>
      <w:spacing w:line="360" w:lineRule="auto"/>
      <w:ind w:firstLine="1040"/>
      <w:jc w:val="left"/>
    </w:pPr>
    <w:rPr>
      <w:rFonts w:ascii="Arial" w:hAnsi="Arial" w:eastAsia="宋体" w:cs="Times New Roman"/>
      <w:sz w:val="24"/>
      <w:szCs w:val="20"/>
    </w:rPr>
  </w:style>
  <w:style w:type="paragraph" w:customStyle="1" w:styleId="110">
    <w:name w:val="无间隔1"/>
    <w:autoRedefine/>
    <w:qFormat/>
    <w:uiPriority w:val="0"/>
    <w:pPr>
      <w:widowControl w:val="0"/>
      <w:spacing w:line="360" w:lineRule="exact"/>
      <w:jc w:val="center"/>
    </w:pPr>
    <w:rPr>
      <w:rFonts w:ascii="Times New Roman" w:hAnsi="Times New Roman" w:eastAsia="宋体" w:cs="Times New Roman"/>
      <w:kern w:val="2"/>
      <w:sz w:val="21"/>
      <w:lang w:val="en-US" w:eastAsia="zh-CN" w:bidi="ar-SA"/>
    </w:rPr>
  </w:style>
  <w:style w:type="paragraph" w:customStyle="1" w:styleId="111">
    <w:name w:val="Table Paragraph"/>
    <w:basedOn w:val="1"/>
    <w:autoRedefine/>
    <w:qFormat/>
    <w:uiPriority w:val="0"/>
    <w:pPr>
      <w:autoSpaceDE w:val="0"/>
      <w:autoSpaceDN w:val="0"/>
      <w:jc w:val="left"/>
    </w:pPr>
    <w:rPr>
      <w:rFonts w:ascii="Noto Sans CJK JP Regular" w:hAnsi="Noto Sans CJK JP Regular" w:eastAsia="Noto Sans CJK JP Regular" w:cs="Noto Sans CJK JP Regular"/>
      <w:kern w:val="0"/>
      <w:sz w:val="22"/>
      <w:lang w:eastAsia="en-US"/>
    </w:rPr>
  </w:style>
  <w:style w:type="paragraph" w:customStyle="1" w:styleId="112">
    <w:name w:val="Table"/>
    <w:basedOn w:val="71"/>
    <w:autoRedefine/>
    <w:qFormat/>
    <w:uiPriority w:val="0"/>
    <w:pPr>
      <w:overflowPunct/>
      <w:adjustRightInd/>
      <w:spacing w:line="240" w:lineRule="auto"/>
      <w:textAlignment w:val="auto"/>
    </w:pPr>
    <w:rPr>
      <w:rFonts w:ascii="Times New Roman" w:hAnsi="Times New Roman" w:eastAsia="仿宋"/>
      <w:sz w:val="21"/>
      <w:szCs w:val="24"/>
    </w:rPr>
  </w:style>
  <w:style w:type="paragraph" w:customStyle="1" w:styleId="113">
    <w:name w:val="sheet"/>
    <w:basedOn w:val="112"/>
    <w:autoRedefine/>
    <w:qFormat/>
    <w:uiPriority w:val="0"/>
    <w:pPr>
      <w:ind w:firstLine="200" w:firstLineChars="200"/>
      <w:jc w:val="left"/>
    </w:pPr>
  </w:style>
  <w:style w:type="paragraph" w:customStyle="1" w:styleId="114">
    <w:name w:val="表格文字"/>
    <w:basedOn w:val="1"/>
    <w:autoRedefine/>
    <w:qFormat/>
    <w:uiPriority w:val="0"/>
    <w:pPr>
      <w:adjustRightInd w:val="0"/>
      <w:snapToGrid w:val="0"/>
      <w:spacing w:line="320" w:lineRule="exact"/>
      <w:jc w:val="center"/>
    </w:pPr>
    <w:rPr>
      <w:rFonts w:ascii="Times New Roman" w:hAnsi="Times New Roman" w:eastAsia="宋体" w:cs="Times New Roman"/>
      <w:kern w:val="24"/>
      <w:szCs w:val="21"/>
    </w:rPr>
  </w:style>
  <w:style w:type="table" w:customStyle="1" w:styleId="115">
    <w:name w:val="预案表格"/>
    <w:basedOn w:val="33"/>
    <w:autoRedefine/>
    <w:qFormat/>
    <w:uiPriority w:val="0"/>
    <w:rPr>
      <w:rFonts w:eastAsia="仿宋"/>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style>
  <w:style w:type="table" w:customStyle="1" w:styleId="116">
    <w:name w:val="表格样式"/>
    <w:basedOn w:val="33"/>
    <w:autoRedefine/>
    <w:qFormat/>
    <w:uiPriority w:val="0"/>
    <w:pPr>
      <w:jc w:val="center"/>
    </w:pPr>
    <w:rPr>
      <w:rFonts w:eastAsia="仿宋"/>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table" w:customStyle="1" w:styleId="117">
    <w:name w:val="样式1"/>
    <w:basedOn w:val="33"/>
    <w:autoRedefine/>
    <w:qFormat/>
    <w:uiPriority w:val="0"/>
    <w:pPr>
      <w:jc w:val="center"/>
    </w:pPr>
    <w:rPr>
      <w:rFonts w:eastAsia="仿宋"/>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table" w:customStyle="1" w:styleId="118">
    <w:name w:val="网格型5"/>
    <w:basedOn w:val="3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9">
    <w:name w:val="Table Normal"/>
    <w:autoRedefine/>
    <w:unhideWhenUsed/>
    <w:qFormat/>
    <w:uiPriority w:val="0"/>
    <w:pPr>
      <w:widowControl w:val="0"/>
      <w:autoSpaceDE w:val="0"/>
      <w:autoSpaceDN w:val="0"/>
    </w:pPr>
    <w:rPr>
      <w:sz w:val="22"/>
      <w:lang w:eastAsia="en-US"/>
    </w:rPr>
    <w:tblPr>
      <w:tblCellMar>
        <w:top w:w="0" w:type="dxa"/>
        <w:left w:w="0" w:type="dxa"/>
        <w:bottom w:w="0" w:type="dxa"/>
        <w:right w:w="0" w:type="dxa"/>
      </w:tblCellMar>
    </w:tblPr>
  </w:style>
  <w:style w:type="paragraph" w:customStyle="1" w:styleId="120">
    <w:name w:val="正文1"/>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121">
    <w:name w:val="aa正文"/>
    <w:autoRedefine/>
    <w:qFormat/>
    <w:uiPriority w:val="0"/>
    <w:pPr>
      <w:widowControl w:val="0"/>
      <w:spacing w:line="360" w:lineRule="auto"/>
      <w:ind w:firstLine="500" w:firstLineChars="200"/>
    </w:pPr>
    <w:rPr>
      <w:rFonts w:ascii="Times New Roman" w:hAnsi="宋体" w:eastAsia="宋体" w:cs="Times New Roman"/>
      <w:kern w:val="2"/>
      <w:sz w:val="21"/>
      <w:szCs w:val="24"/>
      <w:lang w:val="en-US" w:eastAsia="zh-CN" w:bidi="ar-SA"/>
    </w:rPr>
  </w:style>
  <w:style w:type="paragraph" w:customStyle="1" w:styleId="122">
    <w:name w:val="a正文"/>
    <w:autoRedefine/>
    <w:qFormat/>
    <w:uiPriority w:val="0"/>
    <w:pPr>
      <w:spacing w:line="360" w:lineRule="auto"/>
      <w:ind w:firstLine="480" w:firstLineChars="200"/>
    </w:pPr>
    <w:rPr>
      <w:rFonts w:ascii="Times New Roman" w:hAnsi="宋体" w:eastAsia="宋体" w:cs="Times New Roman"/>
      <w:sz w:val="24"/>
      <w:lang w:val="en-US" w:eastAsia="zh-CN" w:bidi="ar-SA"/>
    </w:rPr>
  </w:style>
  <w:style w:type="paragraph" w:customStyle="1" w:styleId="123">
    <w:name w:val="宋体正文小四蓝色"/>
    <w:autoRedefine/>
    <w:qFormat/>
    <w:uiPriority w:val="0"/>
    <w:pPr>
      <w:spacing w:line="500" w:lineRule="exact"/>
      <w:ind w:firstLine="480" w:firstLineChars="200"/>
    </w:pPr>
    <w:rPr>
      <w:rFonts w:ascii="Times New Roman" w:hAnsi="宋体" w:eastAsia="宋体" w:cs="Times New Roman"/>
      <w:sz w:val="24"/>
      <w:lang w:val="en-US" w:eastAsia="zh-CN" w:bidi="ar-SA"/>
    </w:rPr>
  </w:style>
  <w:style w:type="paragraph" w:customStyle="1" w:styleId="124">
    <w:name w:val="a表格"/>
    <w:autoRedefine/>
    <w:qFormat/>
    <w:uiPriority w:val="0"/>
    <w:pPr>
      <w:widowControl w:val="0"/>
      <w:jc w:val="center"/>
    </w:pPr>
    <w:rPr>
      <w:rFonts w:ascii="Calibri" w:hAnsi="宋体" w:eastAsia="宋体" w:cs="Times New Roman"/>
      <w:kern w:val="2"/>
      <w:sz w:val="21"/>
      <w:szCs w:val="24"/>
      <w:lang w:val="en-US" w:eastAsia="zh-CN" w:bidi="ar-SA"/>
    </w:rPr>
  </w:style>
  <w:style w:type="paragraph" w:customStyle="1" w:styleId="125">
    <w:name w:val="aa表格"/>
    <w:autoRedefine/>
    <w:qFormat/>
    <w:uiPriority w:val="0"/>
    <w:pPr>
      <w:widowControl w:val="0"/>
      <w:jc w:val="center"/>
    </w:pPr>
    <w:rPr>
      <w:rFonts w:ascii="Times New Roman" w:hAnsi="宋体" w:eastAsia="宋体" w:cs="Times New Roman"/>
      <w:kern w:val="2"/>
      <w:sz w:val="21"/>
      <w:szCs w:val="24"/>
      <w:lang w:val="en-US" w:eastAsia="zh-CN" w:bidi="ar-SA"/>
    </w:rPr>
  </w:style>
  <w:style w:type="character" w:customStyle="1" w:styleId="126">
    <w:name w:val="不明显强调1"/>
    <w:basedOn w:val="35"/>
    <w:autoRedefine/>
    <w:qFormat/>
    <w:uiPriority w:val="19"/>
    <w:rPr>
      <w:rFonts w:eastAsia="宋体"/>
      <w:iCs/>
      <w:color w:val="000000" w:themeColor="text1"/>
      <w:sz w:val="21"/>
      <w14:textFill>
        <w14:solidFill>
          <w14:schemeClr w14:val="tx1"/>
        </w14:solidFill>
      </w14:textFill>
    </w:rPr>
  </w:style>
  <w:style w:type="character" w:customStyle="1" w:styleId="127">
    <w:name w:val="Char Char164"/>
    <w:autoRedefine/>
    <w:qFormat/>
    <w:uiPriority w:val="0"/>
    <w:rPr>
      <w:kern w:val="2"/>
      <w:sz w:val="21"/>
      <w:szCs w:val="24"/>
    </w:rPr>
  </w:style>
  <w:style w:type="character" w:customStyle="1" w:styleId="128">
    <w:name w:val="font1"/>
    <w:autoRedefine/>
    <w:qFormat/>
    <w:uiPriority w:val="0"/>
    <w:rPr>
      <w:rFonts w:hint="default" w:ascii="Verdana" w:hAnsi="Verdana"/>
      <w:sz w:val="18"/>
      <w:szCs w:val="18"/>
    </w:rPr>
  </w:style>
  <w:style w:type="paragraph" w:customStyle="1" w:styleId="129">
    <w:name w:val="项目编号"/>
    <w:next w:val="1"/>
    <w:autoRedefine/>
    <w:qFormat/>
    <w:uiPriority w:val="0"/>
    <w:pPr>
      <w:widowControl w:val="0"/>
      <w:tabs>
        <w:tab w:val="left" w:pos="360"/>
      </w:tabs>
      <w:spacing w:line="360" w:lineRule="auto"/>
      <w:ind w:hanging="200" w:hangingChars="200"/>
      <w:jc w:val="both"/>
    </w:pPr>
    <w:rPr>
      <w:rFonts w:ascii="Times New Roman" w:hAnsi="Times New Roman" w:eastAsia="宋体" w:cs="Times New Roman"/>
      <w:kern w:val="2"/>
      <w:sz w:val="24"/>
      <w:szCs w:val="22"/>
      <w:lang w:val="en-US" w:eastAsia="zh-CN" w:bidi="ar-SA"/>
    </w:rPr>
  </w:style>
  <w:style w:type="paragraph" w:customStyle="1" w:styleId="130">
    <w:name w:val="图表文字"/>
    <w:autoRedefine/>
    <w:qFormat/>
    <w:uiPriority w:val="0"/>
    <w:pPr>
      <w:spacing w:line="300" w:lineRule="exact"/>
      <w:jc w:val="center"/>
    </w:pPr>
    <w:rPr>
      <w:rFonts w:ascii="Times New Roman" w:hAnsi="Times New Roman" w:eastAsia="宋体" w:cs="宋体"/>
      <w:bCs/>
      <w:sz w:val="21"/>
      <w:szCs w:val="24"/>
      <w:lang w:val="en-US" w:eastAsia="zh-CN" w:bidi="ar-SA"/>
    </w:rPr>
  </w:style>
  <w:style w:type="table" w:customStyle="1" w:styleId="131">
    <w:name w:val="网格型1"/>
    <w:basedOn w:val="33"/>
    <w:autoRedefine/>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2">
    <w:name w:val="3表格正文"/>
    <w:autoRedefine/>
    <w:qFormat/>
    <w:uiPriority w:val="0"/>
    <w:pPr>
      <w:widowControl w:val="0"/>
      <w:adjustRightInd w:val="0"/>
      <w:snapToGrid w:val="0"/>
      <w:jc w:val="center"/>
    </w:pPr>
    <w:rPr>
      <w:rFonts w:ascii="Times New Roman" w:hAnsi="Times New Roman" w:eastAsia="宋体" w:cs="Times New Roman"/>
      <w:bCs/>
      <w:color w:val="FF0000"/>
      <w:kern w:val="2"/>
      <w:sz w:val="21"/>
      <w:szCs w:val="21"/>
      <w:lang w:val="en-US" w:eastAsia="zh-CN" w:bidi="ar-SA"/>
    </w:rPr>
  </w:style>
  <w:style w:type="character" w:customStyle="1" w:styleId="133">
    <w:name w:val="font31"/>
    <w:basedOn w:val="35"/>
    <w:autoRedefine/>
    <w:qFormat/>
    <w:uiPriority w:val="0"/>
    <w:rPr>
      <w:rFonts w:hint="default" w:ascii="Times New Roman" w:hAnsi="Times New Roman" w:cs="Times New Roman"/>
      <w:color w:val="000000"/>
      <w:sz w:val="21"/>
      <w:szCs w:val="21"/>
      <w:u w:val="none"/>
    </w:rPr>
  </w:style>
  <w:style w:type="character" w:customStyle="1" w:styleId="134">
    <w:name w:val="font21"/>
    <w:basedOn w:val="35"/>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Document1.doc"/><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521D58-2D37-42C6-89C5-44667CDA3598}">
  <ds:schemaRefs/>
</ds:datastoreItem>
</file>

<file path=docProps/app.xml><?xml version="1.0" encoding="utf-8"?>
<Properties xmlns="http://schemas.openxmlformats.org/officeDocument/2006/extended-properties" xmlns:vt="http://schemas.openxmlformats.org/officeDocument/2006/docPropsVTypes">
  <Template>Normal.dotm</Template>
  <Company>Administrators</Company>
  <Pages>36</Pages>
  <Words>3058</Words>
  <Characters>17433</Characters>
  <Lines>145</Lines>
  <Paragraphs>40</Paragraphs>
  <TotalTime>52</TotalTime>
  <ScaleCrop>false</ScaleCrop>
  <LinksUpToDate>false</LinksUpToDate>
  <CharactersWithSpaces>20451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2022-02-22T02:57:00Z</dcterms:created>
  <dc:creator>Admin</dc:creator>
  <cp:lastModifiedBy>DELL</cp:lastModifiedBy>
  <cp:lastPrinted>2022-12-12T00:44:00Z</cp:lastPrinted>
  <dcterms:modified xsi:type="dcterms:W3CDTF">2024-02-29T07:24:51Z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4A85D906D3C94455A84D46E8F21AE15D_13</vt:lpwstr>
  </property>
</Properties>
</file>